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06763" w14:textId="093D5D43" w:rsidR="00730DAD" w:rsidRDefault="003A3B0B" w:rsidP="00C874E4">
      <w:pPr>
        <w:rPr>
          <w:rFonts w:ascii="Times" w:hAnsi="Times"/>
          <w:sz w:val="28"/>
          <w:szCs w:val="28"/>
        </w:rPr>
      </w:pPr>
      <w:bookmarkStart w:id="0" w:name="_GoBack"/>
      <w:bookmarkEnd w:id="0"/>
      <w:r>
        <w:rPr>
          <w:rFonts w:ascii="Times" w:hAnsi="Times"/>
          <w:noProof/>
          <w:sz w:val="28"/>
          <w:szCs w:val="28"/>
        </w:rPr>
        <w:drawing>
          <wp:anchor distT="0" distB="0" distL="114300" distR="114300" simplePos="0" relativeHeight="251657728" behindDoc="0" locked="0" layoutInCell="1" allowOverlap="1" wp14:anchorId="0E974CFF" wp14:editId="2D9D5E74">
            <wp:simplePos x="0" y="0"/>
            <wp:positionH relativeFrom="column">
              <wp:posOffset>2540</wp:posOffset>
            </wp:positionH>
            <wp:positionV relativeFrom="paragraph">
              <wp:posOffset>-263525</wp:posOffset>
            </wp:positionV>
            <wp:extent cx="6672580" cy="624840"/>
            <wp:effectExtent l="0" t="0" r="7620" b="10160"/>
            <wp:wrapThrough wrapText="bothSides">
              <wp:wrapPolygon edited="0">
                <wp:start x="0" y="0"/>
                <wp:lineTo x="0" y="21073"/>
                <wp:lineTo x="21542" y="21073"/>
                <wp:lineTo x="21542" y="0"/>
                <wp:lineTo x="0" y="0"/>
              </wp:wrapPolygon>
            </wp:wrapThrough>
            <wp:docPr id="4" name="Picture 3" descr="Letterhead Block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Block 20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72580" cy="624840"/>
                    </a:xfrm>
                    <a:prstGeom prst="rect">
                      <a:avLst/>
                    </a:prstGeom>
                    <a:noFill/>
                  </pic:spPr>
                </pic:pic>
              </a:graphicData>
            </a:graphic>
            <wp14:sizeRelH relativeFrom="page">
              <wp14:pctWidth>0</wp14:pctWidth>
            </wp14:sizeRelH>
            <wp14:sizeRelV relativeFrom="page">
              <wp14:pctHeight>0</wp14:pctHeight>
            </wp14:sizeRelV>
          </wp:anchor>
        </w:drawing>
      </w:r>
    </w:p>
    <w:p w14:paraId="276B3136" w14:textId="77777777" w:rsidR="00C874E4" w:rsidRPr="00257646" w:rsidRDefault="009F3E2E" w:rsidP="00C874E4">
      <w:pPr>
        <w:rPr>
          <w:rFonts w:ascii="Times" w:hAnsi="Times"/>
          <w:sz w:val="28"/>
          <w:szCs w:val="28"/>
        </w:rPr>
      </w:pPr>
      <w:r>
        <w:rPr>
          <w:rFonts w:ascii="Times" w:hAnsi="Times"/>
          <w:sz w:val="28"/>
          <w:szCs w:val="28"/>
        </w:rPr>
        <w:t>November 13, 2017</w:t>
      </w:r>
    </w:p>
    <w:p w14:paraId="564B9BD7" w14:textId="77777777" w:rsidR="00C874E4" w:rsidRDefault="00C874E4" w:rsidP="00C874E4">
      <w:pPr>
        <w:rPr>
          <w:rFonts w:ascii="Times" w:hAnsi="Times"/>
          <w:b/>
          <w:sz w:val="28"/>
          <w:szCs w:val="28"/>
        </w:rPr>
      </w:pPr>
    </w:p>
    <w:p w14:paraId="2DA65BED" w14:textId="77777777" w:rsidR="00150B62" w:rsidRDefault="00150B62" w:rsidP="00C874E4">
      <w:pPr>
        <w:rPr>
          <w:rFonts w:ascii="Times" w:hAnsi="Times"/>
          <w:b/>
          <w:sz w:val="28"/>
          <w:szCs w:val="28"/>
        </w:rPr>
      </w:pPr>
      <w:r w:rsidRPr="00150B62">
        <w:rPr>
          <w:rFonts w:ascii="Times" w:hAnsi="Times"/>
          <w:b/>
          <w:sz w:val="28"/>
          <w:szCs w:val="28"/>
        </w:rPr>
        <w:t>Submitted Electronically</w:t>
      </w:r>
    </w:p>
    <w:p w14:paraId="62215E40" w14:textId="77777777" w:rsidR="00150B62" w:rsidRPr="00150B62" w:rsidRDefault="00150B62" w:rsidP="00C874E4">
      <w:pPr>
        <w:rPr>
          <w:rFonts w:ascii="Times" w:hAnsi="Times"/>
          <w:b/>
          <w:sz w:val="28"/>
          <w:szCs w:val="28"/>
        </w:rPr>
      </w:pPr>
    </w:p>
    <w:p w14:paraId="35299E35" w14:textId="77777777" w:rsidR="00931482" w:rsidRDefault="009C15F8" w:rsidP="00C874E4">
      <w:pPr>
        <w:rPr>
          <w:rFonts w:ascii="Times" w:hAnsi="Times"/>
          <w:sz w:val="28"/>
          <w:szCs w:val="28"/>
        </w:rPr>
      </w:pPr>
      <w:r>
        <w:rPr>
          <w:rFonts w:ascii="Times" w:hAnsi="Times"/>
          <w:sz w:val="28"/>
          <w:szCs w:val="28"/>
        </w:rPr>
        <w:t>Ro</w:t>
      </w:r>
      <w:r w:rsidR="00931482">
        <w:rPr>
          <w:rFonts w:ascii="Times" w:hAnsi="Times"/>
          <w:sz w:val="28"/>
          <w:szCs w:val="28"/>
        </w:rPr>
        <w:t>n</w:t>
      </w:r>
      <w:r>
        <w:rPr>
          <w:rFonts w:ascii="Times" w:hAnsi="Times"/>
          <w:sz w:val="28"/>
          <w:szCs w:val="28"/>
        </w:rPr>
        <w:t>al</w:t>
      </w:r>
      <w:r w:rsidR="00931482">
        <w:rPr>
          <w:rFonts w:ascii="Times" w:hAnsi="Times"/>
          <w:sz w:val="28"/>
          <w:szCs w:val="28"/>
        </w:rPr>
        <w:t>d W. Smith</w:t>
      </w:r>
    </w:p>
    <w:p w14:paraId="18A732BE" w14:textId="77777777" w:rsidR="00931482" w:rsidRDefault="00931482" w:rsidP="00C874E4">
      <w:pPr>
        <w:rPr>
          <w:rFonts w:ascii="Times" w:hAnsi="Times"/>
          <w:sz w:val="28"/>
          <w:szCs w:val="28"/>
        </w:rPr>
      </w:pPr>
      <w:r>
        <w:rPr>
          <w:rFonts w:ascii="Times" w:hAnsi="Times"/>
          <w:sz w:val="28"/>
          <w:szCs w:val="28"/>
        </w:rPr>
        <w:t>Corporate Secretary</w:t>
      </w:r>
    </w:p>
    <w:p w14:paraId="6152748B" w14:textId="77777777" w:rsidR="00931482" w:rsidRDefault="00931482" w:rsidP="00C874E4">
      <w:pPr>
        <w:rPr>
          <w:rFonts w:ascii="Times" w:hAnsi="Times"/>
          <w:sz w:val="28"/>
          <w:szCs w:val="28"/>
        </w:rPr>
      </w:pPr>
      <w:r>
        <w:rPr>
          <w:rFonts w:ascii="Times" w:hAnsi="Times"/>
          <w:sz w:val="28"/>
          <w:szCs w:val="28"/>
        </w:rPr>
        <w:t>Municipal Securities Rulemaking Board</w:t>
      </w:r>
    </w:p>
    <w:p w14:paraId="334DEA50" w14:textId="77777777" w:rsidR="00931482" w:rsidRDefault="00931482" w:rsidP="00C874E4">
      <w:pPr>
        <w:rPr>
          <w:rFonts w:ascii="Times" w:hAnsi="Times"/>
          <w:sz w:val="28"/>
          <w:szCs w:val="28"/>
        </w:rPr>
      </w:pPr>
      <w:r>
        <w:rPr>
          <w:rFonts w:ascii="Times" w:hAnsi="Times"/>
          <w:sz w:val="28"/>
          <w:szCs w:val="28"/>
        </w:rPr>
        <w:t>1300 I Street NW</w:t>
      </w:r>
    </w:p>
    <w:p w14:paraId="4F22D587" w14:textId="77777777" w:rsidR="00C874E4" w:rsidRPr="00257646" w:rsidRDefault="00021335" w:rsidP="00C874E4">
      <w:pPr>
        <w:rPr>
          <w:rFonts w:ascii="Times" w:hAnsi="Times"/>
          <w:sz w:val="28"/>
          <w:szCs w:val="28"/>
        </w:rPr>
      </w:pPr>
      <w:r>
        <w:rPr>
          <w:rFonts w:ascii="Times" w:hAnsi="Times"/>
          <w:sz w:val="28"/>
          <w:szCs w:val="28"/>
        </w:rPr>
        <w:t>Washington, DC 20005</w:t>
      </w:r>
    </w:p>
    <w:p w14:paraId="06668D6A" w14:textId="77777777" w:rsidR="00C874E4" w:rsidRPr="00257646" w:rsidRDefault="00C874E4" w:rsidP="00C874E4">
      <w:pPr>
        <w:rPr>
          <w:rFonts w:ascii="Times" w:hAnsi="Times"/>
          <w:sz w:val="28"/>
          <w:szCs w:val="28"/>
        </w:rPr>
      </w:pPr>
    </w:p>
    <w:p w14:paraId="274BC82B" w14:textId="77777777" w:rsidR="00C874E4" w:rsidRPr="003F40AF" w:rsidRDefault="00C874E4" w:rsidP="003F40AF">
      <w:pPr>
        <w:tabs>
          <w:tab w:val="right" w:pos="10080"/>
        </w:tabs>
        <w:ind w:left="720" w:hanging="720"/>
        <w:rPr>
          <w:rFonts w:ascii="Times" w:hAnsi="Times"/>
          <w:b/>
          <w:sz w:val="28"/>
          <w:szCs w:val="28"/>
          <w:u w:val="single"/>
        </w:rPr>
      </w:pPr>
      <w:r w:rsidRPr="00257646">
        <w:rPr>
          <w:rFonts w:ascii="Times" w:hAnsi="Times"/>
          <w:b/>
          <w:sz w:val="28"/>
          <w:szCs w:val="28"/>
        </w:rPr>
        <w:t xml:space="preserve">RE: </w:t>
      </w:r>
      <w:r w:rsidR="003F40AF">
        <w:rPr>
          <w:rFonts w:ascii="Times" w:hAnsi="Times"/>
          <w:b/>
          <w:sz w:val="28"/>
          <w:szCs w:val="28"/>
        </w:rPr>
        <w:tab/>
      </w:r>
      <w:r w:rsidR="00021335">
        <w:rPr>
          <w:rFonts w:ascii="Times" w:hAnsi="Times"/>
          <w:b/>
          <w:sz w:val="28"/>
          <w:szCs w:val="28"/>
        </w:rPr>
        <w:t xml:space="preserve">Request for Comment </w:t>
      </w:r>
      <w:r w:rsidR="009F3E2E">
        <w:rPr>
          <w:rFonts w:ascii="Times" w:hAnsi="Times"/>
          <w:b/>
          <w:sz w:val="28"/>
          <w:szCs w:val="28"/>
        </w:rPr>
        <w:t>on a Concept Proposal</w:t>
      </w:r>
      <w:r w:rsidR="0024448F">
        <w:rPr>
          <w:rFonts w:ascii="Times" w:hAnsi="Times"/>
          <w:b/>
          <w:sz w:val="28"/>
          <w:szCs w:val="28"/>
        </w:rPr>
        <w:t xml:space="preserve"> (the “Proposal”)</w:t>
      </w:r>
      <w:r w:rsidR="009F3E2E">
        <w:rPr>
          <w:rFonts w:ascii="Times" w:hAnsi="Times"/>
          <w:b/>
          <w:sz w:val="28"/>
          <w:szCs w:val="28"/>
        </w:rPr>
        <w:t xml:space="preserve"> Regarding Amendments to Primary Offering Practices of Brokers, Dealers a</w:t>
      </w:r>
      <w:r w:rsidR="003F40AF">
        <w:rPr>
          <w:rFonts w:ascii="Times" w:hAnsi="Times"/>
          <w:b/>
          <w:sz w:val="28"/>
          <w:szCs w:val="28"/>
        </w:rPr>
        <w:t xml:space="preserve">nd </w:t>
      </w:r>
      <w:r w:rsidR="003F40AF" w:rsidRPr="003F40AF">
        <w:rPr>
          <w:rFonts w:ascii="Times" w:hAnsi="Times"/>
          <w:b/>
          <w:sz w:val="28"/>
          <w:szCs w:val="28"/>
          <w:u w:val="single"/>
        </w:rPr>
        <w:t>Municipal Securities Dealers</w:t>
      </w:r>
      <w:r w:rsidR="003F40AF">
        <w:rPr>
          <w:rFonts w:ascii="Times" w:hAnsi="Times"/>
          <w:b/>
          <w:sz w:val="28"/>
          <w:szCs w:val="28"/>
          <w:u w:val="single"/>
        </w:rPr>
        <w:tab/>
      </w:r>
    </w:p>
    <w:p w14:paraId="214AD6FD" w14:textId="77777777" w:rsidR="00CA218B" w:rsidRPr="00257646" w:rsidRDefault="006114DB" w:rsidP="00CA218B">
      <w:pPr>
        <w:pStyle w:val="NormalWeb"/>
        <w:rPr>
          <w:rFonts w:ascii="Times New Roman" w:hAnsi="Times New Roman"/>
          <w:sz w:val="28"/>
          <w:szCs w:val="28"/>
        </w:rPr>
      </w:pPr>
      <w:r>
        <w:rPr>
          <w:rFonts w:ascii="Times New Roman" w:hAnsi="Times New Roman"/>
          <w:sz w:val="28"/>
          <w:szCs w:val="28"/>
        </w:rPr>
        <w:t>Dear Mr. Smith</w:t>
      </w:r>
      <w:r w:rsidR="00CA218B" w:rsidRPr="00257646">
        <w:rPr>
          <w:rFonts w:ascii="Times New Roman" w:hAnsi="Times New Roman"/>
          <w:sz w:val="28"/>
          <w:szCs w:val="28"/>
        </w:rPr>
        <w:t xml:space="preserve">: </w:t>
      </w:r>
    </w:p>
    <w:p w14:paraId="4F2678AF" w14:textId="77777777" w:rsidR="00E84B66" w:rsidRDefault="00CA218B" w:rsidP="00EA0681">
      <w:pPr>
        <w:pStyle w:val="NormalWeb"/>
        <w:ind w:firstLine="720"/>
        <w:jc w:val="both"/>
        <w:rPr>
          <w:rFonts w:ascii="Times New Roman" w:hAnsi="Times New Roman"/>
          <w:sz w:val="28"/>
          <w:szCs w:val="28"/>
        </w:rPr>
      </w:pPr>
      <w:r w:rsidRPr="00257646">
        <w:rPr>
          <w:rFonts w:ascii="Times New Roman" w:hAnsi="Times New Roman"/>
          <w:sz w:val="28"/>
          <w:szCs w:val="28"/>
        </w:rPr>
        <w:t xml:space="preserve">On behalf of the Bond Dealers of America (“BDA”), I am pleased to submit this letter in response to </w:t>
      </w:r>
      <w:r w:rsidR="0085438E">
        <w:rPr>
          <w:rFonts w:ascii="Times New Roman" w:hAnsi="Times New Roman"/>
          <w:sz w:val="28"/>
          <w:szCs w:val="28"/>
        </w:rPr>
        <w:t xml:space="preserve">the MSRB’s </w:t>
      </w:r>
      <w:r w:rsidR="00EA0681">
        <w:rPr>
          <w:rFonts w:ascii="Times New Roman" w:hAnsi="Times New Roman"/>
          <w:sz w:val="28"/>
          <w:szCs w:val="28"/>
        </w:rPr>
        <w:t xml:space="preserve">request for comment on </w:t>
      </w:r>
      <w:r w:rsidR="0024448F">
        <w:rPr>
          <w:rFonts w:ascii="Times New Roman" w:hAnsi="Times New Roman"/>
          <w:sz w:val="28"/>
          <w:szCs w:val="28"/>
        </w:rPr>
        <w:t xml:space="preserve">the Proposal.  </w:t>
      </w:r>
      <w:r w:rsidR="0067261C">
        <w:rPr>
          <w:rFonts w:ascii="Times New Roman" w:hAnsi="Times New Roman"/>
          <w:sz w:val="28"/>
          <w:szCs w:val="28"/>
        </w:rPr>
        <w:t xml:space="preserve">While we provide our specific responses below, in general, we believe that the existing MSRB rules adequately protect primary offering practices and we do not see the need for a wide array of new rules to govern primary offering practices.  </w:t>
      </w:r>
      <w:r w:rsidR="00E84F70">
        <w:rPr>
          <w:rFonts w:ascii="Times New Roman" w:hAnsi="Times New Roman"/>
          <w:sz w:val="28"/>
          <w:szCs w:val="28"/>
        </w:rPr>
        <w:t xml:space="preserve">In recent SEC actions relating to primary offering practices, </w:t>
      </w:r>
      <w:r w:rsidR="00841B85">
        <w:rPr>
          <w:rFonts w:ascii="Times New Roman" w:hAnsi="Times New Roman"/>
          <w:sz w:val="28"/>
          <w:szCs w:val="28"/>
        </w:rPr>
        <w:t xml:space="preserve">the existing regulatory </w:t>
      </w:r>
      <w:r w:rsidR="00BD1DC3">
        <w:rPr>
          <w:rFonts w:ascii="Times New Roman" w:hAnsi="Times New Roman"/>
          <w:sz w:val="28"/>
          <w:szCs w:val="28"/>
        </w:rPr>
        <w:t xml:space="preserve">and enforcement </w:t>
      </w:r>
      <w:r w:rsidR="00841B85">
        <w:rPr>
          <w:rFonts w:ascii="Times New Roman" w:hAnsi="Times New Roman"/>
          <w:sz w:val="28"/>
          <w:szCs w:val="28"/>
        </w:rPr>
        <w:t xml:space="preserve">framework provided sufficient regulation to prohibit the actions that the SEC concluded were </w:t>
      </w:r>
      <w:r w:rsidR="00201FC9">
        <w:rPr>
          <w:rFonts w:ascii="Times New Roman" w:hAnsi="Times New Roman"/>
          <w:sz w:val="28"/>
          <w:szCs w:val="28"/>
        </w:rPr>
        <w:t>taken</w:t>
      </w:r>
      <w:r w:rsidR="00841B85">
        <w:rPr>
          <w:rFonts w:ascii="Times New Roman" w:hAnsi="Times New Roman"/>
          <w:sz w:val="28"/>
          <w:szCs w:val="28"/>
        </w:rPr>
        <w:t xml:space="preserve">.  </w:t>
      </w:r>
    </w:p>
    <w:p w14:paraId="11F0A413" w14:textId="77777777" w:rsidR="00841B85" w:rsidRDefault="00202A34" w:rsidP="00EA0681">
      <w:pPr>
        <w:pStyle w:val="NormalWeb"/>
        <w:ind w:firstLine="720"/>
        <w:jc w:val="both"/>
        <w:rPr>
          <w:rFonts w:ascii="Times New Roman" w:hAnsi="Times New Roman"/>
          <w:sz w:val="28"/>
          <w:szCs w:val="28"/>
        </w:rPr>
      </w:pPr>
      <w:r>
        <w:rPr>
          <w:rFonts w:ascii="Times New Roman" w:hAnsi="Times New Roman"/>
          <w:sz w:val="28"/>
          <w:szCs w:val="28"/>
        </w:rPr>
        <w:t>We have organized our responses in order of the categories set forth in the proposal.</w:t>
      </w:r>
    </w:p>
    <w:p w14:paraId="57D31FDA" w14:textId="77777777" w:rsidR="00BC6DF7" w:rsidRDefault="0067261C" w:rsidP="00536DD0">
      <w:pPr>
        <w:pStyle w:val="NormalWeb"/>
        <w:spacing w:before="0" w:beforeAutospacing="0" w:after="240" w:afterAutospacing="0"/>
        <w:ind w:firstLine="720"/>
        <w:jc w:val="both"/>
        <w:rPr>
          <w:rFonts w:ascii="Times New Roman" w:hAnsi="Times New Roman"/>
          <w:b/>
          <w:sz w:val="28"/>
          <w:szCs w:val="28"/>
        </w:rPr>
      </w:pPr>
      <w:r>
        <w:rPr>
          <w:rFonts w:ascii="Times New Roman" w:hAnsi="Times New Roman"/>
          <w:b/>
          <w:sz w:val="28"/>
          <w:szCs w:val="28"/>
        </w:rPr>
        <w:t>Rule G-11 Primary Offering Practices</w:t>
      </w:r>
    </w:p>
    <w:p w14:paraId="5979DBD0" w14:textId="77777777" w:rsidR="006C4742" w:rsidRPr="00536DD0" w:rsidRDefault="00536DD0" w:rsidP="0060065A">
      <w:pPr>
        <w:pStyle w:val="NormalWeb"/>
        <w:numPr>
          <w:ilvl w:val="0"/>
          <w:numId w:val="13"/>
        </w:numPr>
        <w:tabs>
          <w:tab w:val="left" w:pos="1800"/>
        </w:tabs>
        <w:spacing w:before="0" w:beforeAutospacing="0" w:after="240" w:afterAutospacing="0"/>
        <w:ind w:left="1800" w:hanging="720"/>
        <w:jc w:val="both"/>
        <w:rPr>
          <w:rFonts w:ascii="Times New Roman" w:hAnsi="Times New Roman"/>
          <w:i/>
          <w:sz w:val="28"/>
          <w:szCs w:val="28"/>
        </w:rPr>
      </w:pPr>
      <w:r w:rsidRPr="00536DD0">
        <w:rPr>
          <w:rFonts w:ascii="Times New Roman" w:hAnsi="Times New Roman"/>
          <w:i/>
          <w:sz w:val="28"/>
          <w:szCs w:val="28"/>
        </w:rPr>
        <w:t>Bona Fide Public Offering</w:t>
      </w:r>
    </w:p>
    <w:p w14:paraId="32F2B0CD" w14:textId="77777777" w:rsidR="006C4742" w:rsidRDefault="00536DD0" w:rsidP="00536DD0">
      <w:pPr>
        <w:pStyle w:val="NormalWeb"/>
        <w:spacing w:before="0" w:beforeAutospacing="0" w:after="240" w:afterAutospacing="0"/>
        <w:ind w:firstLine="720"/>
        <w:jc w:val="both"/>
        <w:rPr>
          <w:rFonts w:ascii="Times New Roman" w:hAnsi="Times New Roman"/>
          <w:sz w:val="28"/>
          <w:szCs w:val="28"/>
        </w:rPr>
      </w:pPr>
      <w:r>
        <w:rPr>
          <w:rFonts w:ascii="Times New Roman" w:hAnsi="Times New Roman"/>
          <w:sz w:val="28"/>
          <w:szCs w:val="28"/>
        </w:rPr>
        <w:t xml:space="preserve">The BDA </w:t>
      </w:r>
      <w:r w:rsidR="00841B85">
        <w:rPr>
          <w:rFonts w:ascii="Times New Roman" w:hAnsi="Times New Roman"/>
          <w:sz w:val="28"/>
          <w:szCs w:val="28"/>
        </w:rPr>
        <w:t xml:space="preserve">recommends that the </w:t>
      </w:r>
      <w:r w:rsidR="005C4E28">
        <w:rPr>
          <w:rFonts w:ascii="Times New Roman" w:hAnsi="Times New Roman"/>
          <w:sz w:val="28"/>
          <w:szCs w:val="28"/>
        </w:rPr>
        <w:t xml:space="preserve">MSRB </w:t>
      </w:r>
      <w:r w:rsidR="00841B85">
        <w:rPr>
          <w:rFonts w:ascii="Times New Roman" w:hAnsi="Times New Roman"/>
          <w:sz w:val="28"/>
          <w:szCs w:val="28"/>
        </w:rPr>
        <w:t xml:space="preserve">not adopt a specific </w:t>
      </w:r>
      <w:r>
        <w:rPr>
          <w:rFonts w:ascii="Times New Roman" w:hAnsi="Times New Roman"/>
          <w:sz w:val="28"/>
          <w:szCs w:val="28"/>
        </w:rPr>
        <w:t xml:space="preserve">rule requiring a </w:t>
      </w:r>
      <w:r w:rsidR="00A84502">
        <w:rPr>
          <w:rFonts w:ascii="Times New Roman" w:hAnsi="Times New Roman"/>
          <w:i/>
          <w:sz w:val="28"/>
          <w:szCs w:val="28"/>
        </w:rPr>
        <w:t>bona</w:t>
      </w:r>
      <w:r w:rsidRPr="00A84502">
        <w:rPr>
          <w:rFonts w:ascii="Times New Roman" w:hAnsi="Times New Roman"/>
          <w:i/>
          <w:sz w:val="28"/>
          <w:szCs w:val="28"/>
        </w:rPr>
        <w:t xml:space="preserve"> fide</w:t>
      </w:r>
      <w:r>
        <w:rPr>
          <w:rFonts w:ascii="Times New Roman" w:hAnsi="Times New Roman"/>
          <w:sz w:val="28"/>
          <w:szCs w:val="28"/>
        </w:rPr>
        <w:t xml:space="preserve"> public offering</w:t>
      </w:r>
      <w:r w:rsidR="00841B85">
        <w:rPr>
          <w:rFonts w:ascii="Times New Roman" w:hAnsi="Times New Roman"/>
          <w:sz w:val="28"/>
          <w:szCs w:val="28"/>
        </w:rPr>
        <w:t xml:space="preserve"> in all municipal securities offerings</w:t>
      </w:r>
      <w:r w:rsidR="005C4E28">
        <w:rPr>
          <w:rFonts w:ascii="Times New Roman" w:hAnsi="Times New Roman"/>
          <w:sz w:val="28"/>
          <w:szCs w:val="28"/>
        </w:rPr>
        <w:t xml:space="preserve">.  </w:t>
      </w:r>
      <w:r w:rsidR="00841B85">
        <w:rPr>
          <w:rFonts w:ascii="Times New Roman" w:hAnsi="Times New Roman"/>
          <w:sz w:val="28"/>
          <w:szCs w:val="28"/>
        </w:rPr>
        <w:t xml:space="preserve">The BDA </w:t>
      </w:r>
      <w:r w:rsidR="007F5BEC">
        <w:rPr>
          <w:rFonts w:ascii="Times New Roman" w:hAnsi="Times New Roman"/>
          <w:sz w:val="28"/>
          <w:szCs w:val="28"/>
        </w:rPr>
        <w:t>believe</w:t>
      </w:r>
      <w:r w:rsidR="00841B85">
        <w:rPr>
          <w:rFonts w:ascii="Times New Roman" w:hAnsi="Times New Roman"/>
          <w:sz w:val="28"/>
          <w:szCs w:val="28"/>
        </w:rPr>
        <w:t>s</w:t>
      </w:r>
      <w:r w:rsidR="007F5BEC">
        <w:rPr>
          <w:rFonts w:ascii="Times New Roman" w:hAnsi="Times New Roman"/>
          <w:sz w:val="28"/>
          <w:szCs w:val="28"/>
        </w:rPr>
        <w:t xml:space="preserve"> that the existing provisions of BPAs and AAUs</w:t>
      </w:r>
      <w:r w:rsidR="00100636">
        <w:rPr>
          <w:rFonts w:ascii="Times New Roman" w:hAnsi="Times New Roman"/>
          <w:sz w:val="28"/>
          <w:szCs w:val="28"/>
        </w:rPr>
        <w:t>,</w:t>
      </w:r>
      <w:r w:rsidR="007F5BEC">
        <w:rPr>
          <w:rFonts w:ascii="Times New Roman" w:hAnsi="Times New Roman"/>
          <w:sz w:val="28"/>
          <w:szCs w:val="28"/>
        </w:rPr>
        <w:t xml:space="preserve"> together wi</w:t>
      </w:r>
      <w:r w:rsidR="006E48B2">
        <w:rPr>
          <w:rFonts w:ascii="Times New Roman" w:hAnsi="Times New Roman"/>
          <w:sz w:val="28"/>
          <w:szCs w:val="28"/>
        </w:rPr>
        <w:t>th the application of MSRB Rule </w:t>
      </w:r>
      <w:r w:rsidR="007F5BEC">
        <w:rPr>
          <w:rFonts w:ascii="Times New Roman" w:hAnsi="Times New Roman"/>
          <w:sz w:val="28"/>
          <w:szCs w:val="28"/>
        </w:rPr>
        <w:t>G</w:t>
      </w:r>
      <w:r w:rsidR="00841B85">
        <w:rPr>
          <w:rFonts w:ascii="Times New Roman" w:hAnsi="Times New Roman"/>
          <w:sz w:val="28"/>
          <w:szCs w:val="28"/>
        </w:rPr>
        <w:noBreakHyphen/>
      </w:r>
      <w:r w:rsidR="007F5BEC">
        <w:rPr>
          <w:rFonts w:ascii="Times New Roman" w:hAnsi="Times New Roman"/>
          <w:sz w:val="28"/>
          <w:szCs w:val="28"/>
        </w:rPr>
        <w:t>17</w:t>
      </w:r>
      <w:r w:rsidR="00100636">
        <w:rPr>
          <w:rFonts w:ascii="Times New Roman" w:hAnsi="Times New Roman"/>
          <w:sz w:val="28"/>
          <w:szCs w:val="28"/>
        </w:rPr>
        <w:t>,</w:t>
      </w:r>
      <w:r w:rsidR="007F5BEC">
        <w:rPr>
          <w:rFonts w:ascii="Times New Roman" w:hAnsi="Times New Roman"/>
          <w:sz w:val="28"/>
          <w:szCs w:val="28"/>
        </w:rPr>
        <w:t xml:space="preserve"> sufficiently protect issuers and borrowers in the municipal securities market</w:t>
      </w:r>
      <w:r w:rsidR="00841B85">
        <w:rPr>
          <w:rFonts w:ascii="Times New Roman" w:hAnsi="Times New Roman"/>
          <w:sz w:val="28"/>
          <w:szCs w:val="28"/>
        </w:rPr>
        <w:t xml:space="preserve"> (like they did in </w:t>
      </w:r>
      <w:r w:rsidR="00201FC9">
        <w:rPr>
          <w:rFonts w:ascii="Times New Roman" w:hAnsi="Times New Roman"/>
          <w:sz w:val="28"/>
          <w:szCs w:val="28"/>
        </w:rPr>
        <w:t>recent SEC actions concerning primary offering practices</w:t>
      </w:r>
      <w:r w:rsidR="00841B85">
        <w:rPr>
          <w:rFonts w:ascii="Times New Roman" w:hAnsi="Times New Roman"/>
          <w:sz w:val="28"/>
          <w:szCs w:val="28"/>
        </w:rPr>
        <w:t>)</w:t>
      </w:r>
      <w:r w:rsidR="007F5BEC">
        <w:rPr>
          <w:rFonts w:ascii="Times New Roman" w:hAnsi="Times New Roman"/>
          <w:sz w:val="28"/>
          <w:szCs w:val="28"/>
        </w:rPr>
        <w:t xml:space="preserve">.  </w:t>
      </w:r>
      <w:r w:rsidR="00BE5219">
        <w:rPr>
          <w:rFonts w:ascii="Times New Roman" w:hAnsi="Times New Roman"/>
          <w:sz w:val="28"/>
          <w:szCs w:val="28"/>
        </w:rPr>
        <w:t>Further, we believe that this should remain the subject of a voluntary contractual arrangement</w:t>
      </w:r>
      <w:r w:rsidR="006A3137">
        <w:rPr>
          <w:rFonts w:ascii="Times New Roman" w:hAnsi="Times New Roman"/>
          <w:sz w:val="28"/>
          <w:szCs w:val="28"/>
        </w:rPr>
        <w:t xml:space="preserve"> which the parties can tailor to their specific transaction</w:t>
      </w:r>
      <w:r w:rsidR="00BE5219">
        <w:rPr>
          <w:rFonts w:ascii="Times New Roman" w:hAnsi="Times New Roman"/>
          <w:sz w:val="28"/>
          <w:szCs w:val="28"/>
        </w:rPr>
        <w:t>.  We do think</w:t>
      </w:r>
      <w:r w:rsidR="008A1D3C">
        <w:rPr>
          <w:rFonts w:ascii="Times New Roman" w:hAnsi="Times New Roman"/>
          <w:sz w:val="28"/>
          <w:szCs w:val="28"/>
        </w:rPr>
        <w:t xml:space="preserve"> that</w:t>
      </w:r>
      <w:r w:rsidR="00BE5219">
        <w:rPr>
          <w:rFonts w:ascii="Times New Roman" w:hAnsi="Times New Roman"/>
          <w:sz w:val="28"/>
          <w:szCs w:val="28"/>
        </w:rPr>
        <w:t>, if the MSRB does</w:t>
      </w:r>
      <w:r w:rsidR="00E84B95">
        <w:rPr>
          <w:rFonts w:ascii="Times New Roman" w:hAnsi="Times New Roman"/>
          <w:sz w:val="28"/>
          <w:szCs w:val="28"/>
        </w:rPr>
        <w:t xml:space="preserve"> adopt a rule, it needs to define the term </w:t>
      </w:r>
      <w:r w:rsidR="00E84B95" w:rsidRPr="00E84B95">
        <w:rPr>
          <w:rFonts w:ascii="Times New Roman" w:hAnsi="Times New Roman"/>
          <w:i/>
          <w:sz w:val="28"/>
          <w:szCs w:val="28"/>
        </w:rPr>
        <w:t>bona fide</w:t>
      </w:r>
      <w:r w:rsidR="00066A13">
        <w:rPr>
          <w:rFonts w:ascii="Times New Roman" w:hAnsi="Times New Roman"/>
          <w:sz w:val="28"/>
          <w:szCs w:val="28"/>
        </w:rPr>
        <w:t xml:space="preserve"> public offering</w:t>
      </w:r>
      <w:r w:rsidR="008A1D3C">
        <w:rPr>
          <w:rFonts w:ascii="Times New Roman" w:hAnsi="Times New Roman"/>
          <w:sz w:val="28"/>
          <w:szCs w:val="28"/>
        </w:rPr>
        <w:t xml:space="preserve"> for purposes of that </w:t>
      </w:r>
      <w:r w:rsidR="008A1D3C">
        <w:rPr>
          <w:rFonts w:ascii="Times New Roman" w:hAnsi="Times New Roman"/>
          <w:sz w:val="28"/>
          <w:szCs w:val="28"/>
        </w:rPr>
        <w:lastRenderedPageBreak/>
        <w:t xml:space="preserve">Rule.  Currently, the requirement of </w:t>
      </w:r>
      <w:r w:rsidR="008A1D3C" w:rsidRPr="00A551DA">
        <w:rPr>
          <w:rFonts w:ascii="Times New Roman" w:hAnsi="Times New Roman"/>
          <w:i/>
          <w:sz w:val="28"/>
          <w:szCs w:val="28"/>
        </w:rPr>
        <w:t>bon</w:t>
      </w:r>
      <w:r w:rsidR="002715FF">
        <w:rPr>
          <w:rFonts w:ascii="Times New Roman" w:hAnsi="Times New Roman"/>
          <w:i/>
          <w:sz w:val="28"/>
          <w:szCs w:val="28"/>
        </w:rPr>
        <w:t>a</w:t>
      </w:r>
      <w:r w:rsidR="008A1D3C" w:rsidRPr="00A551DA">
        <w:rPr>
          <w:rFonts w:ascii="Times New Roman" w:hAnsi="Times New Roman"/>
          <w:i/>
          <w:sz w:val="28"/>
          <w:szCs w:val="28"/>
        </w:rPr>
        <w:t xml:space="preserve"> fide</w:t>
      </w:r>
      <w:r w:rsidR="008A1D3C">
        <w:rPr>
          <w:rFonts w:ascii="Times New Roman" w:hAnsi="Times New Roman"/>
          <w:sz w:val="28"/>
          <w:szCs w:val="28"/>
        </w:rPr>
        <w:t xml:space="preserve"> public offering is understood in light of </w:t>
      </w:r>
      <w:r w:rsidR="00A551DA">
        <w:rPr>
          <w:rFonts w:ascii="Times New Roman" w:hAnsi="Times New Roman"/>
          <w:sz w:val="28"/>
          <w:szCs w:val="28"/>
        </w:rPr>
        <w:t>the duty of fair dealing under Rule G-17</w:t>
      </w:r>
      <w:r w:rsidR="00066A13">
        <w:rPr>
          <w:rFonts w:ascii="Times New Roman" w:hAnsi="Times New Roman"/>
          <w:sz w:val="28"/>
          <w:szCs w:val="28"/>
        </w:rPr>
        <w:t>.</w:t>
      </w:r>
      <w:r w:rsidR="009D6ABF">
        <w:rPr>
          <w:rFonts w:ascii="Times New Roman" w:hAnsi="Times New Roman"/>
          <w:sz w:val="28"/>
          <w:szCs w:val="28"/>
        </w:rPr>
        <w:t xml:space="preserve">  If any rule were to pre</w:t>
      </w:r>
      <w:r w:rsidR="00A551DA">
        <w:rPr>
          <w:rFonts w:ascii="Times New Roman" w:hAnsi="Times New Roman"/>
          <w:sz w:val="28"/>
          <w:szCs w:val="28"/>
        </w:rPr>
        <w:t>scribe something more specific than that, it would be important for the rule to define the term.</w:t>
      </w:r>
      <w:r w:rsidR="002715FF">
        <w:rPr>
          <w:rFonts w:ascii="Times New Roman" w:hAnsi="Times New Roman"/>
          <w:sz w:val="28"/>
          <w:szCs w:val="28"/>
        </w:rPr>
        <w:t xml:space="preserve">  </w:t>
      </w:r>
    </w:p>
    <w:p w14:paraId="23757414" w14:textId="77777777" w:rsidR="00536DD0" w:rsidRPr="00536DD0" w:rsidRDefault="00536DD0" w:rsidP="0060065A">
      <w:pPr>
        <w:pStyle w:val="NormalWeb"/>
        <w:numPr>
          <w:ilvl w:val="0"/>
          <w:numId w:val="13"/>
        </w:numPr>
        <w:tabs>
          <w:tab w:val="left" w:pos="1800"/>
        </w:tabs>
        <w:spacing w:before="0" w:beforeAutospacing="0" w:after="240" w:afterAutospacing="0"/>
        <w:ind w:left="1800" w:hanging="720"/>
        <w:jc w:val="both"/>
        <w:rPr>
          <w:rFonts w:ascii="Times New Roman" w:hAnsi="Times New Roman"/>
          <w:i/>
          <w:sz w:val="28"/>
          <w:szCs w:val="28"/>
        </w:rPr>
      </w:pPr>
      <w:r w:rsidRPr="00536DD0">
        <w:rPr>
          <w:rFonts w:ascii="Times New Roman" w:hAnsi="Times New Roman"/>
          <w:i/>
          <w:sz w:val="28"/>
          <w:szCs w:val="28"/>
        </w:rPr>
        <w:t>Free-to-Trade Wire</w:t>
      </w:r>
    </w:p>
    <w:p w14:paraId="6BF2E14E" w14:textId="77777777" w:rsidR="00536DD0" w:rsidRDefault="009A39F3" w:rsidP="00536DD0">
      <w:pPr>
        <w:pStyle w:val="NormalWeb"/>
        <w:spacing w:before="0" w:beforeAutospacing="0" w:after="240" w:afterAutospacing="0"/>
        <w:ind w:firstLine="720"/>
        <w:jc w:val="both"/>
        <w:rPr>
          <w:rFonts w:ascii="Times New Roman" w:hAnsi="Times New Roman"/>
          <w:sz w:val="28"/>
          <w:szCs w:val="28"/>
        </w:rPr>
      </w:pPr>
      <w:r>
        <w:rPr>
          <w:rFonts w:ascii="Times New Roman" w:hAnsi="Times New Roman"/>
          <w:sz w:val="28"/>
          <w:szCs w:val="28"/>
        </w:rPr>
        <w:t xml:space="preserve">The BDA believes that the MSRB should require all senior </w:t>
      </w:r>
      <w:r w:rsidR="00F86D97">
        <w:rPr>
          <w:rFonts w:ascii="Times New Roman" w:hAnsi="Times New Roman"/>
          <w:sz w:val="28"/>
          <w:szCs w:val="28"/>
        </w:rPr>
        <w:t xml:space="preserve">syndicate </w:t>
      </w:r>
      <w:r>
        <w:rPr>
          <w:rFonts w:ascii="Times New Roman" w:hAnsi="Times New Roman"/>
          <w:sz w:val="28"/>
          <w:szCs w:val="28"/>
        </w:rPr>
        <w:t>managers to send a free-to-trade wire</w:t>
      </w:r>
      <w:r w:rsidR="00936F3A">
        <w:rPr>
          <w:rFonts w:ascii="Times New Roman" w:hAnsi="Times New Roman"/>
          <w:sz w:val="28"/>
          <w:szCs w:val="28"/>
        </w:rPr>
        <w:t xml:space="preserve"> to all syndicate members</w:t>
      </w:r>
      <w:r>
        <w:rPr>
          <w:rFonts w:ascii="Times New Roman" w:hAnsi="Times New Roman"/>
          <w:sz w:val="28"/>
          <w:szCs w:val="28"/>
        </w:rPr>
        <w:t xml:space="preserve">. </w:t>
      </w:r>
      <w:r w:rsidR="00680C05">
        <w:rPr>
          <w:rFonts w:ascii="Times New Roman" w:hAnsi="Times New Roman"/>
          <w:sz w:val="28"/>
          <w:szCs w:val="28"/>
        </w:rPr>
        <w:t xml:space="preserve"> </w:t>
      </w:r>
      <w:r>
        <w:rPr>
          <w:rFonts w:ascii="Times New Roman" w:hAnsi="Times New Roman"/>
          <w:sz w:val="28"/>
          <w:szCs w:val="28"/>
        </w:rPr>
        <w:t xml:space="preserve">Our members have experienced instances where the </w:t>
      </w:r>
      <w:r w:rsidR="00AD4C99">
        <w:rPr>
          <w:rFonts w:ascii="Times New Roman" w:hAnsi="Times New Roman"/>
          <w:sz w:val="28"/>
          <w:szCs w:val="28"/>
        </w:rPr>
        <w:t xml:space="preserve">senior </w:t>
      </w:r>
      <w:r w:rsidR="00936F3A">
        <w:rPr>
          <w:rFonts w:ascii="Times New Roman" w:hAnsi="Times New Roman"/>
          <w:sz w:val="28"/>
          <w:szCs w:val="28"/>
        </w:rPr>
        <w:t xml:space="preserve">syndicate </w:t>
      </w:r>
      <w:r w:rsidR="00AD4C99">
        <w:rPr>
          <w:rFonts w:ascii="Times New Roman" w:hAnsi="Times New Roman"/>
          <w:sz w:val="28"/>
          <w:szCs w:val="28"/>
        </w:rPr>
        <w:t xml:space="preserve">manager either does not send a free-to-trade wire or sends a wire to some but not all </w:t>
      </w:r>
      <w:r w:rsidR="00936F3A">
        <w:rPr>
          <w:rFonts w:ascii="Times New Roman" w:hAnsi="Times New Roman"/>
          <w:sz w:val="28"/>
          <w:szCs w:val="28"/>
        </w:rPr>
        <w:t>syndicate members</w:t>
      </w:r>
      <w:r w:rsidR="00AD4C99">
        <w:rPr>
          <w:rFonts w:ascii="Times New Roman" w:hAnsi="Times New Roman"/>
          <w:sz w:val="28"/>
          <w:szCs w:val="28"/>
        </w:rPr>
        <w:t xml:space="preserve">.  Thus, for fairness and consistency in the market, we think that the MSRB should require the senior </w:t>
      </w:r>
      <w:r w:rsidR="00916E86">
        <w:rPr>
          <w:rFonts w:ascii="Times New Roman" w:hAnsi="Times New Roman"/>
          <w:sz w:val="28"/>
          <w:szCs w:val="28"/>
        </w:rPr>
        <w:t xml:space="preserve">syndicate </w:t>
      </w:r>
      <w:r w:rsidR="00AD4C99">
        <w:rPr>
          <w:rFonts w:ascii="Times New Roman" w:hAnsi="Times New Roman"/>
          <w:sz w:val="28"/>
          <w:szCs w:val="28"/>
        </w:rPr>
        <w:t>manager to send the wire.</w:t>
      </w:r>
      <w:r w:rsidR="00916236">
        <w:rPr>
          <w:rFonts w:ascii="Times New Roman" w:hAnsi="Times New Roman"/>
          <w:sz w:val="28"/>
          <w:szCs w:val="28"/>
        </w:rPr>
        <w:t xml:space="preserve">  As far as the content of such a rule, we suggest that the rule provide that</w:t>
      </w:r>
      <w:r w:rsidR="00846485">
        <w:rPr>
          <w:rFonts w:ascii="Times New Roman" w:hAnsi="Times New Roman"/>
          <w:sz w:val="28"/>
          <w:szCs w:val="28"/>
        </w:rPr>
        <w:t>,</w:t>
      </w:r>
      <w:r w:rsidR="00916236">
        <w:rPr>
          <w:rFonts w:ascii="Times New Roman" w:hAnsi="Times New Roman"/>
          <w:sz w:val="28"/>
          <w:szCs w:val="28"/>
        </w:rPr>
        <w:t xml:space="preserve"> once </w:t>
      </w:r>
      <w:r w:rsidR="00800B92">
        <w:rPr>
          <w:rFonts w:ascii="Times New Roman" w:hAnsi="Times New Roman"/>
          <w:sz w:val="28"/>
          <w:szCs w:val="28"/>
        </w:rPr>
        <w:t>formal award has been assigned</w:t>
      </w:r>
      <w:r w:rsidR="00916236">
        <w:rPr>
          <w:rFonts w:ascii="Times New Roman" w:hAnsi="Times New Roman"/>
          <w:sz w:val="28"/>
          <w:szCs w:val="28"/>
        </w:rPr>
        <w:t xml:space="preserve">, the senior </w:t>
      </w:r>
      <w:r w:rsidR="00846485">
        <w:rPr>
          <w:rFonts w:ascii="Times New Roman" w:hAnsi="Times New Roman"/>
          <w:sz w:val="28"/>
          <w:szCs w:val="28"/>
        </w:rPr>
        <w:t xml:space="preserve">syndicate </w:t>
      </w:r>
      <w:r w:rsidR="00916236">
        <w:rPr>
          <w:rFonts w:ascii="Times New Roman" w:hAnsi="Times New Roman"/>
          <w:sz w:val="28"/>
          <w:szCs w:val="28"/>
        </w:rPr>
        <w:t xml:space="preserve">manager </w:t>
      </w:r>
      <w:r w:rsidR="00846485">
        <w:rPr>
          <w:rFonts w:ascii="Times New Roman" w:hAnsi="Times New Roman"/>
          <w:sz w:val="28"/>
          <w:szCs w:val="28"/>
        </w:rPr>
        <w:t>be required</w:t>
      </w:r>
      <w:r w:rsidR="00916236">
        <w:rPr>
          <w:rFonts w:ascii="Times New Roman" w:hAnsi="Times New Roman"/>
          <w:sz w:val="28"/>
          <w:szCs w:val="28"/>
        </w:rPr>
        <w:t xml:space="preserve"> send out a notification to all </w:t>
      </w:r>
      <w:r w:rsidR="00565B35">
        <w:rPr>
          <w:rFonts w:ascii="Times New Roman" w:hAnsi="Times New Roman"/>
          <w:sz w:val="28"/>
          <w:szCs w:val="28"/>
        </w:rPr>
        <w:t xml:space="preserve">syndicate members </w:t>
      </w:r>
      <w:r w:rsidR="00680C05">
        <w:rPr>
          <w:rFonts w:ascii="Times New Roman" w:hAnsi="Times New Roman"/>
          <w:sz w:val="28"/>
          <w:szCs w:val="28"/>
        </w:rPr>
        <w:t>at the same time</w:t>
      </w:r>
      <w:r w:rsidR="00800B92">
        <w:rPr>
          <w:rFonts w:ascii="Times New Roman" w:hAnsi="Times New Roman"/>
          <w:sz w:val="28"/>
          <w:szCs w:val="28"/>
        </w:rPr>
        <w:t>.</w:t>
      </w:r>
      <w:r w:rsidR="00916E86">
        <w:rPr>
          <w:rFonts w:ascii="Times New Roman" w:hAnsi="Times New Roman"/>
          <w:sz w:val="28"/>
          <w:szCs w:val="28"/>
        </w:rPr>
        <w:t xml:space="preserve">  </w:t>
      </w:r>
      <w:r w:rsidR="00680C05">
        <w:rPr>
          <w:rFonts w:ascii="Times New Roman" w:hAnsi="Times New Roman"/>
          <w:sz w:val="28"/>
          <w:szCs w:val="28"/>
        </w:rPr>
        <w:t>Any rule would need to permit the senior syndicate manager to use Ipreo or other customarily used platform as the means by which the senior syndicate manager trans</w:t>
      </w:r>
      <w:r w:rsidR="0062249D">
        <w:rPr>
          <w:rFonts w:ascii="Times New Roman" w:hAnsi="Times New Roman"/>
          <w:sz w:val="28"/>
          <w:szCs w:val="28"/>
        </w:rPr>
        <w:t xml:space="preserve">mits the free-to-trade wire.  Further, any rule would need to contemplate that the senior syndicate manager could send the free-to-trade wire maturity by maturity as the issuance is sold.  </w:t>
      </w:r>
      <w:r w:rsidR="00BC719B">
        <w:rPr>
          <w:rFonts w:ascii="Times New Roman" w:hAnsi="Times New Roman"/>
          <w:sz w:val="28"/>
          <w:szCs w:val="28"/>
        </w:rPr>
        <w:t xml:space="preserve">In addition, any rule should serve the purpose of removing restrictions on syndicate members and thus any rule should </w:t>
      </w:r>
      <w:r w:rsidR="00936F3A">
        <w:rPr>
          <w:rFonts w:ascii="Times New Roman" w:hAnsi="Times New Roman"/>
          <w:sz w:val="28"/>
          <w:szCs w:val="28"/>
        </w:rPr>
        <w:t>exclude any issuance of municipal securities that is a sole managed transaction</w:t>
      </w:r>
      <w:r w:rsidR="00BC719B">
        <w:rPr>
          <w:rFonts w:ascii="Times New Roman" w:hAnsi="Times New Roman"/>
          <w:sz w:val="28"/>
          <w:szCs w:val="28"/>
        </w:rPr>
        <w:t>, and any rule should not require the senior syndicate manager to send any notification to market participants beyond the syndicate members.</w:t>
      </w:r>
    </w:p>
    <w:p w14:paraId="5FBA5675" w14:textId="77777777" w:rsidR="00536DD0" w:rsidRDefault="00536DD0" w:rsidP="00B02047">
      <w:pPr>
        <w:pStyle w:val="NormalWeb"/>
        <w:numPr>
          <w:ilvl w:val="0"/>
          <w:numId w:val="13"/>
        </w:numPr>
        <w:tabs>
          <w:tab w:val="left" w:pos="1800"/>
        </w:tabs>
        <w:spacing w:before="0" w:beforeAutospacing="0" w:after="240" w:afterAutospacing="0"/>
        <w:ind w:left="1800" w:hanging="720"/>
        <w:jc w:val="both"/>
        <w:rPr>
          <w:rFonts w:ascii="Times New Roman" w:hAnsi="Times New Roman"/>
          <w:i/>
          <w:sz w:val="28"/>
          <w:szCs w:val="28"/>
        </w:rPr>
      </w:pPr>
      <w:r w:rsidRPr="00536DD0">
        <w:rPr>
          <w:rFonts w:ascii="Times New Roman" w:hAnsi="Times New Roman"/>
          <w:i/>
          <w:sz w:val="28"/>
          <w:szCs w:val="28"/>
        </w:rPr>
        <w:t>Additional Information for the Issuer</w:t>
      </w:r>
    </w:p>
    <w:p w14:paraId="0A93C0B7" w14:textId="77777777" w:rsidR="00451F74" w:rsidRPr="00451F74" w:rsidRDefault="00451F74" w:rsidP="00451F74">
      <w:pPr>
        <w:pStyle w:val="NormalWeb"/>
        <w:spacing w:after="240"/>
        <w:ind w:firstLine="720"/>
        <w:jc w:val="both"/>
        <w:rPr>
          <w:rFonts w:ascii="Times New Roman" w:hAnsi="Times New Roman"/>
          <w:sz w:val="28"/>
          <w:szCs w:val="28"/>
        </w:rPr>
      </w:pPr>
      <w:r w:rsidRPr="00451F74">
        <w:rPr>
          <w:rFonts w:ascii="Times New Roman" w:hAnsi="Times New Roman"/>
          <w:sz w:val="28"/>
          <w:szCs w:val="28"/>
        </w:rPr>
        <w:t>In our members’ experience, not all issuers have access to detailed information about their securities, and the BDA recommends that the MSRB require syndicate managers to send this information to issuers upon request.  In addition to the information the MSRB describes, the BDA also recommends that the syndicate manager should be required to send the underwriting spread breakd</w:t>
      </w:r>
      <w:r w:rsidR="00281FCF">
        <w:rPr>
          <w:rFonts w:ascii="Times New Roman" w:hAnsi="Times New Roman"/>
          <w:sz w:val="28"/>
          <w:szCs w:val="28"/>
        </w:rPr>
        <w:t>own to the issuer, upon request</w:t>
      </w:r>
      <w:r w:rsidRPr="00451F74">
        <w:rPr>
          <w:rFonts w:ascii="Times New Roman" w:hAnsi="Times New Roman"/>
          <w:sz w:val="28"/>
          <w:szCs w:val="28"/>
        </w:rPr>
        <w:t>.  As to the MSRB’s question concerning whether the issuer should be required to approve designations or allocations, the BDA recommends that the MSRB not require this approval because it would likely create timing problems where the senior syndicate manager would be forced to violate the rule in circumstances (which could be frequent) where the issuer is not available to provide that approval.</w:t>
      </w:r>
    </w:p>
    <w:p w14:paraId="6154E9C5" w14:textId="77777777" w:rsidR="00DB405B" w:rsidRPr="00B02047" w:rsidRDefault="00BE2F14" w:rsidP="00451F74">
      <w:pPr>
        <w:pStyle w:val="NormalWeb"/>
        <w:spacing w:before="0" w:beforeAutospacing="0" w:after="240" w:afterAutospacing="0"/>
        <w:ind w:firstLine="720"/>
        <w:jc w:val="both"/>
        <w:rPr>
          <w:rFonts w:ascii="Times New Roman" w:hAnsi="Times New Roman"/>
          <w:sz w:val="28"/>
          <w:szCs w:val="28"/>
        </w:rPr>
      </w:pPr>
      <w:r>
        <w:rPr>
          <w:rFonts w:ascii="Times New Roman" w:hAnsi="Times New Roman"/>
          <w:sz w:val="28"/>
          <w:szCs w:val="28"/>
        </w:rPr>
        <w:t xml:space="preserve">While the MSRB’s </w:t>
      </w:r>
      <w:r w:rsidR="00CA1418">
        <w:rPr>
          <w:rFonts w:ascii="Times New Roman" w:hAnsi="Times New Roman"/>
          <w:sz w:val="28"/>
          <w:szCs w:val="28"/>
        </w:rPr>
        <w:t>request for comment</w:t>
      </w:r>
      <w:r>
        <w:rPr>
          <w:rFonts w:ascii="Times New Roman" w:hAnsi="Times New Roman"/>
          <w:sz w:val="28"/>
          <w:szCs w:val="28"/>
        </w:rPr>
        <w:t xml:space="preserve"> addresses </w:t>
      </w:r>
      <w:r w:rsidR="00A00991">
        <w:rPr>
          <w:rFonts w:ascii="Times New Roman" w:hAnsi="Times New Roman"/>
          <w:sz w:val="28"/>
          <w:szCs w:val="28"/>
        </w:rPr>
        <w:t xml:space="preserve">whether information should be sent to issuers, the BDA would like to observe that, in practice, much of the information that the MSRB </w:t>
      </w:r>
      <w:r w:rsidR="00CA1418">
        <w:rPr>
          <w:rFonts w:ascii="Times New Roman" w:hAnsi="Times New Roman"/>
          <w:sz w:val="28"/>
          <w:szCs w:val="28"/>
        </w:rPr>
        <w:t>discusses</w:t>
      </w:r>
      <w:r w:rsidR="00A00991">
        <w:rPr>
          <w:rFonts w:ascii="Times New Roman" w:hAnsi="Times New Roman"/>
          <w:sz w:val="28"/>
          <w:szCs w:val="28"/>
        </w:rPr>
        <w:t xml:space="preserve"> is </w:t>
      </w:r>
      <w:r w:rsidR="00CA1418">
        <w:rPr>
          <w:rFonts w:ascii="Times New Roman" w:hAnsi="Times New Roman"/>
          <w:sz w:val="28"/>
          <w:szCs w:val="28"/>
        </w:rPr>
        <w:t xml:space="preserve">frequently </w:t>
      </w:r>
      <w:r w:rsidR="00A00991">
        <w:rPr>
          <w:rFonts w:ascii="Times New Roman" w:hAnsi="Times New Roman"/>
          <w:sz w:val="28"/>
          <w:szCs w:val="28"/>
        </w:rPr>
        <w:t>not sent</w:t>
      </w:r>
      <w:r w:rsidR="00CA1418">
        <w:rPr>
          <w:rFonts w:ascii="Times New Roman" w:hAnsi="Times New Roman"/>
          <w:sz w:val="28"/>
          <w:szCs w:val="28"/>
        </w:rPr>
        <w:t xml:space="preserve"> to syndicate members</w:t>
      </w:r>
      <w:r w:rsidR="00C73CF0">
        <w:rPr>
          <w:rFonts w:ascii="Times New Roman" w:hAnsi="Times New Roman"/>
          <w:sz w:val="28"/>
          <w:szCs w:val="28"/>
        </w:rPr>
        <w:t xml:space="preserve">.  The BDA observes that there are privacy concerns that complicate the information being sent to syndicate members.  But our members’ experience is that frequently much of this information is not sent to syndicate members.  </w:t>
      </w:r>
    </w:p>
    <w:p w14:paraId="11991ABD" w14:textId="77777777" w:rsidR="0060065A" w:rsidRPr="00536DD0" w:rsidRDefault="0060065A" w:rsidP="00281FCF">
      <w:pPr>
        <w:pStyle w:val="NormalWeb"/>
        <w:keepNext/>
        <w:keepLines/>
        <w:numPr>
          <w:ilvl w:val="0"/>
          <w:numId w:val="13"/>
        </w:numPr>
        <w:tabs>
          <w:tab w:val="left" w:pos="1800"/>
        </w:tabs>
        <w:spacing w:before="0" w:beforeAutospacing="0" w:after="240" w:afterAutospacing="0"/>
        <w:ind w:left="1800" w:hanging="720"/>
        <w:jc w:val="both"/>
        <w:rPr>
          <w:rFonts w:ascii="Times New Roman" w:hAnsi="Times New Roman"/>
          <w:i/>
          <w:sz w:val="28"/>
          <w:szCs w:val="28"/>
        </w:rPr>
      </w:pPr>
      <w:r>
        <w:rPr>
          <w:rFonts w:ascii="Times New Roman" w:hAnsi="Times New Roman"/>
          <w:i/>
          <w:sz w:val="28"/>
          <w:szCs w:val="28"/>
        </w:rPr>
        <w:lastRenderedPageBreak/>
        <w:t>Alignment of the Payment of Sales Credits for Group Net Orders with the Payment of Sales Credits for Net Designated Orders and Shortened Timeframe</w:t>
      </w:r>
    </w:p>
    <w:p w14:paraId="39A374EA" w14:textId="77777777" w:rsidR="0060065A" w:rsidRDefault="00092EDC" w:rsidP="0060065A">
      <w:pPr>
        <w:pStyle w:val="NormalWeb"/>
        <w:spacing w:before="0" w:beforeAutospacing="0" w:after="240" w:afterAutospacing="0"/>
        <w:ind w:firstLine="720"/>
        <w:jc w:val="both"/>
        <w:rPr>
          <w:rFonts w:ascii="Times New Roman" w:hAnsi="Times New Roman"/>
          <w:sz w:val="28"/>
          <w:szCs w:val="28"/>
        </w:rPr>
      </w:pPr>
      <w:r>
        <w:rPr>
          <w:rFonts w:ascii="Times New Roman" w:hAnsi="Times New Roman"/>
          <w:sz w:val="28"/>
          <w:szCs w:val="28"/>
        </w:rPr>
        <w:t>The BDA recommend</w:t>
      </w:r>
      <w:r w:rsidR="00ED0359">
        <w:rPr>
          <w:rFonts w:ascii="Times New Roman" w:hAnsi="Times New Roman"/>
          <w:sz w:val="28"/>
          <w:szCs w:val="28"/>
        </w:rPr>
        <w:t xml:space="preserve">s </w:t>
      </w:r>
      <w:r>
        <w:rPr>
          <w:rFonts w:ascii="Times New Roman" w:hAnsi="Times New Roman"/>
          <w:sz w:val="28"/>
          <w:szCs w:val="28"/>
        </w:rPr>
        <w:t xml:space="preserve">that the </w:t>
      </w:r>
      <w:r w:rsidR="00ED0359">
        <w:rPr>
          <w:rFonts w:ascii="Times New Roman" w:hAnsi="Times New Roman"/>
          <w:sz w:val="28"/>
          <w:szCs w:val="28"/>
        </w:rPr>
        <w:t xml:space="preserve">MSRB align the </w:t>
      </w:r>
      <w:r>
        <w:rPr>
          <w:rFonts w:ascii="Times New Roman" w:hAnsi="Times New Roman"/>
          <w:sz w:val="28"/>
          <w:szCs w:val="28"/>
        </w:rPr>
        <w:t xml:space="preserve">overall time period </w:t>
      </w:r>
      <w:r w:rsidR="000D312A">
        <w:rPr>
          <w:rFonts w:ascii="Times New Roman" w:hAnsi="Times New Roman"/>
          <w:sz w:val="28"/>
          <w:szCs w:val="28"/>
        </w:rPr>
        <w:t xml:space="preserve">for both Rule G-11(i) and (j) </w:t>
      </w:r>
      <w:r w:rsidR="00ED0359">
        <w:rPr>
          <w:rFonts w:ascii="Times New Roman" w:hAnsi="Times New Roman"/>
          <w:sz w:val="28"/>
          <w:szCs w:val="28"/>
        </w:rPr>
        <w:t>a</w:t>
      </w:r>
      <w:r w:rsidR="000D312A">
        <w:rPr>
          <w:rFonts w:ascii="Times New Roman" w:hAnsi="Times New Roman"/>
          <w:sz w:val="28"/>
          <w:szCs w:val="28"/>
        </w:rPr>
        <w:t xml:space="preserve">t 10 </w:t>
      </w:r>
      <w:r w:rsidR="00BA081C">
        <w:rPr>
          <w:rFonts w:ascii="Times New Roman" w:hAnsi="Times New Roman"/>
          <w:sz w:val="28"/>
          <w:szCs w:val="28"/>
        </w:rPr>
        <w:t>business</w:t>
      </w:r>
      <w:r w:rsidR="000D312A">
        <w:rPr>
          <w:rFonts w:ascii="Times New Roman" w:hAnsi="Times New Roman"/>
          <w:sz w:val="28"/>
          <w:szCs w:val="28"/>
        </w:rPr>
        <w:t xml:space="preserve"> days.</w:t>
      </w:r>
    </w:p>
    <w:p w14:paraId="4EC90DF2" w14:textId="77777777" w:rsidR="007C08B8" w:rsidRPr="00536DD0" w:rsidRDefault="007C08B8" w:rsidP="003F40AF">
      <w:pPr>
        <w:pStyle w:val="NormalWeb"/>
        <w:keepNext/>
        <w:keepLines/>
        <w:numPr>
          <w:ilvl w:val="0"/>
          <w:numId w:val="13"/>
        </w:numPr>
        <w:tabs>
          <w:tab w:val="left" w:pos="1800"/>
        </w:tabs>
        <w:spacing w:before="0" w:beforeAutospacing="0" w:after="240" w:afterAutospacing="0"/>
        <w:ind w:left="1800" w:hanging="720"/>
        <w:jc w:val="both"/>
        <w:rPr>
          <w:rFonts w:ascii="Times New Roman" w:hAnsi="Times New Roman"/>
          <w:i/>
          <w:sz w:val="28"/>
          <w:szCs w:val="28"/>
        </w:rPr>
      </w:pPr>
      <w:r>
        <w:rPr>
          <w:rFonts w:ascii="Times New Roman" w:hAnsi="Times New Roman"/>
          <w:i/>
          <w:sz w:val="28"/>
          <w:szCs w:val="28"/>
        </w:rPr>
        <w:t>Priority of Orders and Allocation of Bonds</w:t>
      </w:r>
    </w:p>
    <w:p w14:paraId="1228EE0F" w14:textId="77777777" w:rsidR="007C08B8" w:rsidRDefault="00AA4FBB" w:rsidP="007C08B8">
      <w:pPr>
        <w:pStyle w:val="NormalWeb"/>
        <w:spacing w:before="0" w:beforeAutospacing="0" w:after="240" w:afterAutospacing="0"/>
        <w:ind w:firstLine="720"/>
        <w:jc w:val="both"/>
        <w:rPr>
          <w:rFonts w:ascii="Times New Roman" w:hAnsi="Times New Roman"/>
          <w:sz w:val="28"/>
          <w:szCs w:val="28"/>
        </w:rPr>
      </w:pPr>
      <w:r>
        <w:rPr>
          <w:rFonts w:ascii="Times New Roman" w:hAnsi="Times New Roman"/>
          <w:sz w:val="28"/>
          <w:szCs w:val="28"/>
        </w:rPr>
        <w:t>Th</w:t>
      </w:r>
      <w:r w:rsidR="00472429">
        <w:rPr>
          <w:rFonts w:ascii="Times New Roman" w:hAnsi="Times New Roman"/>
          <w:sz w:val="28"/>
          <w:szCs w:val="28"/>
        </w:rPr>
        <w:t xml:space="preserve">e BDA recommends that, in negotiated sales, the </w:t>
      </w:r>
      <w:r w:rsidR="003C52D4">
        <w:rPr>
          <w:rFonts w:ascii="Times New Roman" w:hAnsi="Times New Roman"/>
          <w:sz w:val="28"/>
          <w:szCs w:val="28"/>
        </w:rPr>
        <w:t xml:space="preserve">MSRB should require senior syndicate managers to allocate retail priority orders up to the amount of priority set by the issuer before allocating to a lower priority orders (unless the issuer provides its approval).  Our members had previously thought that Rule G-11 was sufficiently clear on this point but have found instances where this has not occurred and thus a rule is appropriate.  In addition, </w:t>
      </w:r>
      <w:r w:rsidR="00112626">
        <w:rPr>
          <w:rFonts w:ascii="Times New Roman" w:hAnsi="Times New Roman"/>
          <w:sz w:val="28"/>
          <w:szCs w:val="28"/>
        </w:rPr>
        <w:t xml:space="preserve">the experience of our members is that </w:t>
      </w:r>
      <w:r w:rsidR="00B112D8">
        <w:rPr>
          <w:rFonts w:ascii="Times New Roman" w:hAnsi="Times New Roman"/>
          <w:sz w:val="28"/>
          <w:szCs w:val="28"/>
        </w:rPr>
        <w:t>the discretion</w:t>
      </w:r>
      <w:r w:rsidR="00595A18">
        <w:rPr>
          <w:rFonts w:ascii="Times New Roman" w:hAnsi="Times New Roman"/>
          <w:sz w:val="28"/>
          <w:szCs w:val="28"/>
        </w:rPr>
        <w:t xml:space="preserve"> of syndicate members</w:t>
      </w:r>
      <w:r w:rsidR="00B112D8">
        <w:rPr>
          <w:rFonts w:ascii="Times New Roman" w:hAnsi="Times New Roman"/>
          <w:sz w:val="28"/>
          <w:szCs w:val="28"/>
        </w:rPr>
        <w:t xml:space="preserve"> is exercised in a manner that orders submitted by senior managers are afforded more weight than orders by co-managers.</w:t>
      </w:r>
      <w:r w:rsidR="00595A18">
        <w:rPr>
          <w:rFonts w:ascii="Times New Roman" w:hAnsi="Times New Roman"/>
          <w:sz w:val="28"/>
          <w:szCs w:val="28"/>
        </w:rPr>
        <w:t xml:space="preserve">  Thus, at times, our members believe that the discretion results in </w:t>
      </w:r>
      <w:r w:rsidR="006A3137">
        <w:rPr>
          <w:rFonts w:ascii="Times New Roman" w:hAnsi="Times New Roman"/>
          <w:sz w:val="28"/>
          <w:szCs w:val="28"/>
        </w:rPr>
        <w:t xml:space="preserve">an </w:t>
      </w:r>
      <w:r w:rsidR="00595A18">
        <w:rPr>
          <w:rFonts w:ascii="Times New Roman" w:hAnsi="Times New Roman"/>
          <w:sz w:val="28"/>
          <w:szCs w:val="28"/>
        </w:rPr>
        <w:t>unfair allotment of bonds.</w:t>
      </w:r>
      <w:r w:rsidR="006C281E">
        <w:rPr>
          <w:rFonts w:ascii="Times New Roman" w:hAnsi="Times New Roman"/>
          <w:sz w:val="28"/>
          <w:szCs w:val="28"/>
        </w:rPr>
        <w:t xml:space="preserve"> </w:t>
      </w:r>
      <w:r w:rsidR="00281FCF">
        <w:rPr>
          <w:rFonts w:ascii="Times New Roman" w:hAnsi="Times New Roman"/>
          <w:sz w:val="28"/>
          <w:szCs w:val="28"/>
        </w:rPr>
        <w:t xml:space="preserve"> The BDA also believes that it is important that </w:t>
      </w:r>
      <w:r w:rsidR="0041704E">
        <w:rPr>
          <w:rFonts w:ascii="Times New Roman" w:hAnsi="Times New Roman"/>
          <w:sz w:val="28"/>
          <w:szCs w:val="28"/>
        </w:rPr>
        <w:t xml:space="preserve">MSRB rules continue to contemplate that </w:t>
      </w:r>
      <w:r w:rsidR="00281FCF">
        <w:rPr>
          <w:rFonts w:ascii="Times New Roman" w:hAnsi="Times New Roman"/>
          <w:sz w:val="28"/>
          <w:szCs w:val="28"/>
        </w:rPr>
        <w:t>any retail priorities are established by the issuer of the municipal securities.</w:t>
      </w:r>
    </w:p>
    <w:p w14:paraId="47417391" w14:textId="77777777" w:rsidR="001C6BB9" w:rsidRPr="001C6BB9" w:rsidRDefault="0089042A" w:rsidP="00EA0681">
      <w:pPr>
        <w:pStyle w:val="NormalWeb"/>
        <w:ind w:firstLine="720"/>
        <w:jc w:val="both"/>
        <w:rPr>
          <w:rFonts w:ascii="Times New Roman" w:hAnsi="Times New Roman"/>
          <w:b/>
          <w:sz w:val="28"/>
          <w:szCs w:val="28"/>
        </w:rPr>
      </w:pPr>
      <w:r>
        <w:rPr>
          <w:rFonts w:ascii="Times New Roman" w:hAnsi="Times New Roman"/>
          <w:b/>
          <w:sz w:val="28"/>
          <w:szCs w:val="28"/>
        </w:rPr>
        <w:t>Rule G-32 – Disclosures in Connection with Primary Offerings</w:t>
      </w:r>
    </w:p>
    <w:p w14:paraId="34FB4B68" w14:textId="77777777" w:rsidR="00AE2AD7" w:rsidRPr="0089042A" w:rsidRDefault="0089042A" w:rsidP="0089042A">
      <w:pPr>
        <w:pStyle w:val="NormalWeb"/>
        <w:numPr>
          <w:ilvl w:val="0"/>
          <w:numId w:val="13"/>
        </w:numPr>
        <w:tabs>
          <w:tab w:val="left" w:pos="1800"/>
        </w:tabs>
        <w:spacing w:before="0" w:beforeAutospacing="0" w:after="240" w:afterAutospacing="0"/>
        <w:ind w:left="1800" w:hanging="720"/>
        <w:jc w:val="both"/>
        <w:rPr>
          <w:rFonts w:ascii="Times New Roman" w:hAnsi="Times New Roman"/>
          <w:i/>
          <w:sz w:val="28"/>
          <w:szCs w:val="28"/>
        </w:rPr>
      </w:pPr>
      <w:r w:rsidRPr="0089042A">
        <w:rPr>
          <w:rFonts w:ascii="Times New Roman" w:hAnsi="Times New Roman"/>
          <w:i/>
          <w:sz w:val="28"/>
          <w:szCs w:val="28"/>
        </w:rPr>
        <w:t>Disclosure of the CUSIPs Refunded and the Percentages Thereof</w:t>
      </w:r>
    </w:p>
    <w:p w14:paraId="2788A46F" w14:textId="77777777" w:rsidR="0089042A" w:rsidRDefault="006533CD" w:rsidP="0089042A">
      <w:pPr>
        <w:pStyle w:val="NormalWeb"/>
        <w:spacing w:before="0" w:beforeAutospacing="0" w:after="240" w:afterAutospacing="0"/>
        <w:ind w:firstLine="720"/>
        <w:jc w:val="both"/>
        <w:rPr>
          <w:rFonts w:ascii="Times New Roman" w:hAnsi="Times New Roman"/>
          <w:sz w:val="28"/>
          <w:szCs w:val="28"/>
        </w:rPr>
      </w:pPr>
      <w:r>
        <w:rPr>
          <w:rFonts w:ascii="Times New Roman" w:hAnsi="Times New Roman"/>
          <w:sz w:val="28"/>
          <w:szCs w:val="28"/>
        </w:rPr>
        <w:t xml:space="preserve">The </w:t>
      </w:r>
      <w:r w:rsidR="00595A18">
        <w:rPr>
          <w:rFonts w:ascii="Times New Roman" w:hAnsi="Times New Roman"/>
          <w:sz w:val="28"/>
          <w:szCs w:val="28"/>
        </w:rPr>
        <w:t>BDA</w:t>
      </w:r>
      <w:r>
        <w:rPr>
          <w:rFonts w:ascii="Times New Roman" w:hAnsi="Times New Roman"/>
          <w:sz w:val="28"/>
          <w:szCs w:val="28"/>
        </w:rPr>
        <w:t xml:space="preserve"> recommends that </w:t>
      </w:r>
      <w:r w:rsidR="00BA081C">
        <w:rPr>
          <w:rFonts w:ascii="Times New Roman" w:hAnsi="Times New Roman"/>
          <w:sz w:val="28"/>
          <w:szCs w:val="28"/>
        </w:rPr>
        <w:t>the MSRB require</w:t>
      </w:r>
      <w:r w:rsidR="00595A18">
        <w:rPr>
          <w:rFonts w:ascii="Times New Roman" w:hAnsi="Times New Roman"/>
          <w:sz w:val="28"/>
          <w:szCs w:val="28"/>
        </w:rPr>
        <w:t xml:space="preserve"> the senior syndicate manager or sole manager to </w:t>
      </w:r>
      <w:r>
        <w:rPr>
          <w:rFonts w:ascii="Times New Roman" w:hAnsi="Times New Roman"/>
          <w:sz w:val="28"/>
          <w:szCs w:val="28"/>
        </w:rPr>
        <w:t xml:space="preserve">disclose the CUSIPs refunded and the percentages thereof within a short period following the pricing of the refunding bonds, if available.  In our experience, this information </w:t>
      </w:r>
      <w:r w:rsidR="00595A18">
        <w:rPr>
          <w:rFonts w:ascii="Times New Roman" w:hAnsi="Times New Roman"/>
          <w:sz w:val="28"/>
          <w:szCs w:val="28"/>
        </w:rPr>
        <w:t>almost always needs to be</w:t>
      </w:r>
      <w:r>
        <w:rPr>
          <w:rFonts w:ascii="Times New Roman" w:hAnsi="Times New Roman"/>
          <w:sz w:val="28"/>
          <w:szCs w:val="28"/>
        </w:rPr>
        <w:t xml:space="preserve"> available </w:t>
      </w:r>
      <w:r w:rsidR="00D7243B">
        <w:rPr>
          <w:rFonts w:ascii="Times New Roman" w:hAnsi="Times New Roman"/>
          <w:sz w:val="28"/>
          <w:szCs w:val="28"/>
        </w:rPr>
        <w:t>at</w:t>
      </w:r>
      <w:r>
        <w:rPr>
          <w:rFonts w:ascii="Times New Roman" w:hAnsi="Times New Roman"/>
          <w:sz w:val="28"/>
          <w:szCs w:val="28"/>
        </w:rPr>
        <w:t xml:space="preserve"> the</w:t>
      </w:r>
      <w:r w:rsidR="004D4C7D">
        <w:rPr>
          <w:rFonts w:ascii="Times New Roman" w:hAnsi="Times New Roman"/>
          <w:sz w:val="28"/>
          <w:szCs w:val="28"/>
        </w:rPr>
        <w:t xml:space="preserve"> pricing of the refunding bonds</w:t>
      </w:r>
      <w:r w:rsidR="00595A18">
        <w:rPr>
          <w:rFonts w:ascii="Times New Roman" w:hAnsi="Times New Roman"/>
          <w:sz w:val="28"/>
          <w:szCs w:val="28"/>
        </w:rPr>
        <w:t xml:space="preserve"> or the savings of a refunding would be uncertain</w:t>
      </w:r>
      <w:r w:rsidR="004D4C7D">
        <w:rPr>
          <w:rFonts w:ascii="Times New Roman" w:hAnsi="Times New Roman"/>
          <w:sz w:val="28"/>
          <w:szCs w:val="28"/>
        </w:rPr>
        <w:t>.  The current requirement can allow for several weeks to elapse before the market learns of this information.  Our memb</w:t>
      </w:r>
      <w:r w:rsidR="00F46E0A">
        <w:rPr>
          <w:rFonts w:ascii="Times New Roman" w:hAnsi="Times New Roman"/>
          <w:sz w:val="28"/>
          <w:szCs w:val="28"/>
        </w:rPr>
        <w:t xml:space="preserve">ers have experienced circumstances where bonds </w:t>
      </w:r>
      <w:r w:rsidR="00595A18">
        <w:rPr>
          <w:rFonts w:ascii="Times New Roman" w:hAnsi="Times New Roman"/>
          <w:sz w:val="28"/>
          <w:szCs w:val="28"/>
        </w:rPr>
        <w:t xml:space="preserve">trade with </w:t>
      </w:r>
      <w:r w:rsidR="00F46E0A">
        <w:rPr>
          <w:rFonts w:ascii="Times New Roman" w:hAnsi="Times New Roman"/>
          <w:sz w:val="28"/>
          <w:szCs w:val="28"/>
        </w:rPr>
        <w:t>some participants know</w:t>
      </w:r>
      <w:r w:rsidR="00595A18">
        <w:rPr>
          <w:rFonts w:ascii="Times New Roman" w:hAnsi="Times New Roman"/>
          <w:sz w:val="28"/>
          <w:szCs w:val="28"/>
        </w:rPr>
        <w:t>ing</w:t>
      </w:r>
      <w:r w:rsidR="00F46E0A">
        <w:rPr>
          <w:rFonts w:ascii="Times New Roman" w:hAnsi="Times New Roman"/>
          <w:sz w:val="28"/>
          <w:szCs w:val="28"/>
        </w:rPr>
        <w:t xml:space="preserve"> that some of the CUSIPs are subject to a refunding and other participants </w:t>
      </w:r>
      <w:r w:rsidR="00595A18">
        <w:rPr>
          <w:rFonts w:ascii="Times New Roman" w:hAnsi="Times New Roman"/>
          <w:sz w:val="28"/>
          <w:szCs w:val="28"/>
        </w:rPr>
        <w:t>not knowing</w:t>
      </w:r>
      <w:r w:rsidR="00F46E0A">
        <w:rPr>
          <w:rFonts w:ascii="Times New Roman" w:hAnsi="Times New Roman"/>
          <w:sz w:val="28"/>
          <w:szCs w:val="28"/>
        </w:rPr>
        <w:t>.</w:t>
      </w:r>
      <w:r w:rsidR="006A3137">
        <w:rPr>
          <w:rFonts w:ascii="Times New Roman" w:hAnsi="Times New Roman"/>
          <w:sz w:val="28"/>
          <w:szCs w:val="28"/>
        </w:rPr>
        <w:t xml:space="preserve">  We do think it is important for the MSRB’s rule to contemplate scenarios where the CUSIP numbers are not available at pricing – which could at least in theory be the case in refundings where the objective is not merely cost savings.</w:t>
      </w:r>
    </w:p>
    <w:p w14:paraId="4018ED06" w14:textId="77777777" w:rsidR="00A0200B" w:rsidRPr="0089042A" w:rsidRDefault="00A0200B" w:rsidP="00A0200B">
      <w:pPr>
        <w:pStyle w:val="NormalWeb"/>
        <w:numPr>
          <w:ilvl w:val="0"/>
          <w:numId w:val="13"/>
        </w:numPr>
        <w:tabs>
          <w:tab w:val="left" w:pos="1800"/>
        </w:tabs>
        <w:spacing w:before="0" w:beforeAutospacing="0" w:after="240" w:afterAutospacing="0"/>
        <w:ind w:left="1800" w:hanging="720"/>
        <w:jc w:val="both"/>
        <w:rPr>
          <w:rFonts w:ascii="Times New Roman" w:hAnsi="Times New Roman"/>
          <w:i/>
          <w:sz w:val="28"/>
          <w:szCs w:val="28"/>
        </w:rPr>
      </w:pPr>
      <w:r>
        <w:rPr>
          <w:rFonts w:ascii="Times New Roman" w:hAnsi="Times New Roman"/>
          <w:i/>
          <w:sz w:val="28"/>
          <w:szCs w:val="28"/>
        </w:rPr>
        <w:t>Submission of Preliminary Official Statements to EMMA</w:t>
      </w:r>
    </w:p>
    <w:p w14:paraId="1749C996" w14:textId="77777777" w:rsidR="00A0200B" w:rsidRDefault="005D69C9" w:rsidP="00A0200B">
      <w:pPr>
        <w:pStyle w:val="NormalWeb"/>
        <w:spacing w:before="0" w:beforeAutospacing="0" w:after="240" w:afterAutospacing="0"/>
        <w:ind w:firstLine="720"/>
        <w:jc w:val="both"/>
        <w:rPr>
          <w:rFonts w:ascii="Times New Roman" w:hAnsi="Times New Roman"/>
          <w:sz w:val="28"/>
          <w:szCs w:val="28"/>
        </w:rPr>
      </w:pPr>
      <w:r>
        <w:rPr>
          <w:rFonts w:ascii="Times New Roman" w:hAnsi="Times New Roman"/>
          <w:sz w:val="28"/>
          <w:szCs w:val="28"/>
        </w:rPr>
        <w:t>The</w:t>
      </w:r>
      <w:r w:rsidR="00485A8C">
        <w:rPr>
          <w:rFonts w:ascii="Times New Roman" w:hAnsi="Times New Roman"/>
          <w:sz w:val="28"/>
          <w:szCs w:val="28"/>
        </w:rPr>
        <w:t xml:space="preserve"> BDA recommends that the MSRB not adopt a rule requiring the posting of preliminary official statements to EMMA.  There would be numerous problems with such a rule, including an unnecessary proscription of a time requirement </w:t>
      </w:r>
      <w:r w:rsidR="00D01A55">
        <w:rPr>
          <w:rFonts w:ascii="Times New Roman" w:hAnsi="Times New Roman"/>
          <w:sz w:val="28"/>
          <w:szCs w:val="28"/>
        </w:rPr>
        <w:t xml:space="preserve">between posting and pricing, </w:t>
      </w:r>
      <w:r w:rsidR="00485A8C">
        <w:rPr>
          <w:rFonts w:ascii="Times New Roman" w:hAnsi="Times New Roman"/>
          <w:sz w:val="28"/>
          <w:szCs w:val="28"/>
        </w:rPr>
        <w:t xml:space="preserve">and managing supplements to preliminary official statements.  In particular, now, </w:t>
      </w:r>
      <w:r w:rsidR="00485A8C">
        <w:rPr>
          <w:rFonts w:ascii="Times New Roman" w:hAnsi="Times New Roman"/>
          <w:sz w:val="28"/>
          <w:szCs w:val="28"/>
        </w:rPr>
        <w:lastRenderedPageBreak/>
        <w:t>issuers use printers to distribute preliminary official statements and follow a process to ensure that anyone who downloads the preliminary official statement has access to supplements so that deal participants know that supplements are properly disseminated.</w:t>
      </w:r>
      <w:r w:rsidR="00D01A55">
        <w:rPr>
          <w:rFonts w:ascii="Times New Roman" w:hAnsi="Times New Roman"/>
          <w:sz w:val="28"/>
          <w:szCs w:val="28"/>
        </w:rPr>
        <w:t xml:space="preserve">  If preliminary official statements were posted to EMMA, the MSRB would also need to develop a mechanism to ensure that everyone who views the POS on EMMA receives supplements.</w:t>
      </w:r>
      <w:r w:rsidR="00D7243B">
        <w:rPr>
          <w:rFonts w:ascii="Times New Roman" w:hAnsi="Times New Roman"/>
          <w:sz w:val="28"/>
          <w:szCs w:val="28"/>
        </w:rPr>
        <w:t xml:space="preserve">  In addition, the BDA encourages the MSRB to ensure that any preliminary official statements prepared in connection with limited offerings not be required to be posted to EMMA as one of the objectives of a limited offering is to not generally market the bonds.</w:t>
      </w:r>
    </w:p>
    <w:p w14:paraId="04C74122" w14:textId="77777777" w:rsidR="00485A8C" w:rsidRDefault="005D69C9" w:rsidP="00A0200B">
      <w:pPr>
        <w:pStyle w:val="NormalWeb"/>
        <w:spacing w:before="0" w:beforeAutospacing="0" w:after="240" w:afterAutospacing="0"/>
        <w:ind w:firstLine="720"/>
        <w:jc w:val="both"/>
        <w:rPr>
          <w:rFonts w:ascii="Times New Roman" w:hAnsi="Times New Roman"/>
          <w:sz w:val="28"/>
          <w:szCs w:val="28"/>
        </w:rPr>
      </w:pPr>
      <w:r>
        <w:rPr>
          <w:rFonts w:ascii="Times New Roman" w:hAnsi="Times New Roman"/>
          <w:sz w:val="28"/>
          <w:szCs w:val="28"/>
        </w:rPr>
        <w:t xml:space="preserve">While the BDA is opposed to a rule requiring underwriters or municipal advisors to post preliminary official statements, </w:t>
      </w:r>
      <w:r w:rsidR="00BE7094">
        <w:rPr>
          <w:rFonts w:ascii="Times New Roman" w:hAnsi="Times New Roman"/>
          <w:sz w:val="28"/>
          <w:szCs w:val="28"/>
        </w:rPr>
        <w:t>our members have had experiences in competitive bid offerings where the municipal advisor does not send preliminary official statements to all potential bidding dealers at the same time.  Sometimes, the delay in the receipt of the preliminary official statement increases the challenges to the dealers in performing all of the necessary due diligence.</w:t>
      </w:r>
    </w:p>
    <w:p w14:paraId="6B1A6D52" w14:textId="77777777" w:rsidR="00A0200B" w:rsidRPr="0089042A" w:rsidRDefault="00F87D51" w:rsidP="00A0200B">
      <w:pPr>
        <w:pStyle w:val="NormalWeb"/>
        <w:numPr>
          <w:ilvl w:val="0"/>
          <w:numId w:val="13"/>
        </w:numPr>
        <w:tabs>
          <w:tab w:val="left" w:pos="1800"/>
        </w:tabs>
        <w:spacing w:before="0" w:beforeAutospacing="0" w:after="240" w:afterAutospacing="0"/>
        <w:ind w:left="1800" w:hanging="720"/>
        <w:jc w:val="both"/>
        <w:rPr>
          <w:rFonts w:ascii="Times New Roman" w:hAnsi="Times New Roman"/>
          <w:i/>
          <w:sz w:val="28"/>
          <w:szCs w:val="28"/>
        </w:rPr>
      </w:pPr>
      <w:r>
        <w:rPr>
          <w:rFonts w:ascii="Times New Roman" w:hAnsi="Times New Roman"/>
          <w:i/>
          <w:sz w:val="28"/>
          <w:szCs w:val="28"/>
        </w:rPr>
        <w:t>Whether Non-Dealer Municipal Advisors Should Make the Official Statement Available to the Underwriter After the Issuer Approves It for Distribution</w:t>
      </w:r>
    </w:p>
    <w:p w14:paraId="6FE0D6ED" w14:textId="77777777" w:rsidR="00A0200B" w:rsidRDefault="00273E63" w:rsidP="00A0200B">
      <w:pPr>
        <w:pStyle w:val="NormalWeb"/>
        <w:spacing w:before="0" w:beforeAutospacing="0" w:after="240" w:afterAutospacing="0"/>
        <w:ind w:firstLine="720"/>
        <w:jc w:val="both"/>
        <w:rPr>
          <w:rFonts w:ascii="Times New Roman" w:hAnsi="Times New Roman"/>
          <w:sz w:val="28"/>
          <w:szCs w:val="28"/>
        </w:rPr>
      </w:pPr>
      <w:r>
        <w:rPr>
          <w:rFonts w:ascii="Times New Roman" w:hAnsi="Times New Roman"/>
          <w:sz w:val="28"/>
          <w:szCs w:val="28"/>
        </w:rPr>
        <w:t>The BDA recommend</w:t>
      </w:r>
      <w:r w:rsidR="008D3412">
        <w:rPr>
          <w:rFonts w:ascii="Times New Roman" w:hAnsi="Times New Roman"/>
          <w:sz w:val="28"/>
          <w:szCs w:val="28"/>
        </w:rPr>
        <w:t>s</w:t>
      </w:r>
      <w:r>
        <w:rPr>
          <w:rFonts w:ascii="Times New Roman" w:hAnsi="Times New Roman"/>
          <w:sz w:val="28"/>
          <w:szCs w:val="28"/>
        </w:rPr>
        <w:t xml:space="preserve"> that the MSRB amend Rule G-32(c) to extend the requirement to make the official statement available to the </w:t>
      </w:r>
      <w:r w:rsidR="000829E8">
        <w:rPr>
          <w:rFonts w:ascii="Times New Roman" w:hAnsi="Times New Roman"/>
          <w:sz w:val="28"/>
          <w:szCs w:val="28"/>
        </w:rPr>
        <w:t xml:space="preserve">senior </w:t>
      </w:r>
      <w:r>
        <w:rPr>
          <w:rFonts w:ascii="Times New Roman" w:hAnsi="Times New Roman"/>
          <w:sz w:val="28"/>
          <w:szCs w:val="28"/>
        </w:rPr>
        <w:t>managing underwriter or sole underwriter to non-dealer municipal advisors.</w:t>
      </w:r>
    </w:p>
    <w:p w14:paraId="1FA230EB" w14:textId="77777777" w:rsidR="00A0200B" w:rsidRPr="0089042A" w:rsidRDefault="00F87D51" w:rsidP="00A0200B">
      <w:pPr>
        <w:pStyle w:val="NormalWeb"/>
        <w:numPr>
          <w:ilvl w:val="0"/>
          <w:numId w:val="13"/>
        </w:numPr>
        <w:tabs>
          <w:tab w:val="left" w:pos="1800"/>
        </w:tabs>
        <w:spacing w:before="0" w:beforeAutospacing="0" w:after="240" w:afterAutospacing="0"/>
        <w:ind w:left="1800" w:hanging="720"/>
        <w:jc w:val="both"/>
        <w:rPr>
          <w:rFonts w:ascii="Times New Roman" w:hAnsi="Times New Roman"/>
          <w:i/>
          <w:sz w:val="28"/>
          <w:szCs w:val="28"/>
        </w:rPr>
      </w:pPr>
      <w:r>
        <w:rPr>
          <w:rFonts w:ascii="Times New Roman" w:hAnsi="Times New Roman"/>
          <w:i/>
          <w:sz w:val="28"/>
          <w:szCs w:val="28"/>
        </w:rPr>
        <w:t>Whether the MSRB Should Auto-Populate into Form G-32 Certain Information that is Submitted into NIIDS but is Not Currently Required to be Provided on Form G-32</w:t>
      </w:r>
    </w:p>
    <w:p w14:paraId="2C3B73B9" w14:textId="77777777" w:rsidR="00A0200B" w:rsidRDefault="00D33799" w:rsidP="00A0200B">
      <w:pPr>
        <w:pStyle w:val="NormalWeb"/>
        <w:spacing w:before="0" w:beforeAutospacing="0" w:after="240" w:afterAutospacing="0"/>
        <w:ind w:firstLine="720"/>
        <w:jc w:val="both"/>
        <w:rPr>
          <w:rFonts w:ascii="Times New Roman" w:hAnsi="Times New Roman"/>
          <w:sz w:val="28"/>
          <w:szCs w:val="28"/>
        </w:rPr>
      </w:pPr>
      <w:r>
        <w:rPr>
          <w:rFonts w:ascii="Times New Roman" w:hAnsi="Times New Roman"/>
          <w:sz w:val="28"/>
          <w:szCs w:val="28"/>
        </w:rPr>
        <w:t>The BDA does recommend that the MSRB</w:t>
      </w:r>
      <w:r w:rsidR="007839E4">
        <w:rPr>
          <w:rFonts w:ascii="Times New Roman" w:hAnsi="Times New Roman"/>
          <w:sz w:val="28"/>
          <w:szCs w:val="28"/>
        </w:rPr>
        <w:t xml:space="preserve"> auto-populate information from NIIDS into Form G-32.</w:t>
      </w:r>
    </w:p>
    <w:p w14:paraId="7FD35D90" w14:textId="77777777" w:rsidR="00A0200B" w:rsidRPr="0089042A" w:rsidRDefault="00F87D51" w:rsidP="00A0200B">
      <w:pPr>
        <w:pStyle w:val="NormalWeb"/>
        <w:numPr>
          <w:ilvl w:val="0"/>
          <w:numId w:val="13"/>
        </w:numPr>
        <w:tabs>
          <w:tab w:val="left" w:pos="1800"/>
        </w:tabs>
        <w:spacing w:before="0" w:beforeAutospacing="0" w:after="240" w:afterAutospacing="0"/>
        <w:ind w:left="1800" w:hanging="720"/>
        <w:jc w:val="both"/>
        <w:rPr>
          <w:rFonts w:ascii="Times New Roman" w:hAnsi="Times New Roman"/>
          <w:i/>
          <w:sz w:val="28"/>
          <w:szCs w:val="28"/>
        </w:rPr>
      </w:pPr>
      <w:r>
        <w:rPr>
          <w:rFonts w:ascii="Times New Roman" w:hAnsi="Times New Roman"/>
          <w:i/>
          <w:sz w:val="28"/>
          <w:szCs w:val="28"/>
        </w:rPr>
        <w:t>Whether the MSRB Should Request Additional Information on Form G</w:t>
      </w:r>
      <w:r>
        <w:rPr>
          <w:rFonts w:ascii="Times New Roman" w:hAnsi="Times New Roman"/>
          <w:i/>
          <w:sz w:val="28"/>
          <w:szCs w:val="28"/>
        </w:rPr>
        <w:noBreakHyphen/>
        <w:t>32 that Currently is Not Provided in NIIDS, and If So, What Data?</w:t>
      </w:r>
    </w:p>
    <w:p w14:paraId="6AB969F3" w14:textId="77777777" w:rsidR="00A0200B" w:rsidRDefault="007839E4" w:rsidP="00A0200B">
      <w:pPr>
        <w:pStyle w:val="NormalWeb"/>
        <w:spacing w:before="0" w:beforeAutospacing="0" w:after="240" w:afterAutospacing="0"/>
        <w:ind w:firstLine="720"/>
        <w:jc w:val="both"/>
        <w:rPr>
          <w:rFonts w:ascii="Times New Roman" w:hAnsi="Times New Roman"/>
          <w:sz w:val="28"/>
          <w:szCs w:val="28"/>
        </w:rPr>
      </w:pPr>
      <w:r>
        <w:rPr>
          <w:rFonts w:ascii="Times New Roman" w:hAnsi="Times New Roman"/>
          <w:sz w:val="28"/>
          <w:szCs w:val="28"/>
        </w:rPr>
        <w:t xml:space="preserve">Other than items we mention below, the BDA recommends that the MSRB not include all of the suggested items in the Proposal.  </w:t>
      </w:r>
      <w:r w:rsidR="00CA2848">
        <w:rPr>
          <w:rFonts w:ascii="Times New Roman" w:hAnsi="Times New Roman"/>
          <w:sz w:val="28"/>
          <w:szCs w:val="28"/>
        </w:rPr>
        <w:t>The two items of information that the BDA does recommend that the MSRB include on the Form G-32 are (1)</w:t>
      </w:r>
      <w:r w:rsidR="003F40AF">
        <w:rPr>
          <w:rFonts w:ascii="Times New Roman" w:hAnsi="Times New Roman"/>
          <w:sz w:val="28"/>
          <w:szCs w:val="28"/>
        </w:rPr>
        <w:t> </w:t>
      </w:r>
      <w:r w:rsidR="00CA2848">
        <w:rPr>
          <w:rFonts w:ascii="Times New Roman" w:hAnsi="Times New Roman"/>
          <w:sz w:val="28"/>
          <w:szCs w:val="28"/>
        </w:rPr>
        <w:t>call information (including extraordinary call information) and (2)</w:t>
      </w:r>
      <w:r w:rsidR="003F40AF">
        <w:rPr>
          <w:rFonts w:ascii="Times New Roman" w:hAnsi="Times New Roman"/>
          <w:sz w:val="28"/>
          <w:szCs w:val="28"/>
        </w:rPr>
        <w:t> </w:t>
      </w:r>
      <w:r w:rsidR="00CA2848">
        <w:rPr>
          <w:rFonts w:ascii="Times New Roman" w:hAnsi="Times New Roman"/>
          <w:sz w:val="28"/>
          <w:szCs w:val="28"/>
        </w:rPr>
        <w:t>minimum denominations (including events that change the minimum denominations).  We recommend that the MSRB not include the other items discussed in the Proposal.</w:t>
      </w:r>
    </w:p>
    <w:p w14:paraId="66228D3B" w14:textId="77777777" w:rsidR="00CA2848" w:rsidRDefault="008D3412" w:rsidP="00A0200B">
      <w:pPr>
        <w:pStyle w:val="NormalWeb"/>
        <w:spacing w:before="0" w:beforeAutospacing="0" w:after="240" w:afterAutospacing="0"/>
        <w:ind w:firstLine="720"/>
        <w:jc w:val="both"/>
        <w:rPr>
          <w:rFonts w:ascii="Times New Roman" w:hAnsi="Times New Roman"/>
          <w:sz w:val="28"/>
          <w:szCs w:val="28"/>
        </w:rPr>
      </w:pPr>
      <w:r>
        <w:rPr>
          <w:rFonts w:ascii="Times New Roman" w:hAnsi="Times New Roman"/>
          <w:sz w:val="28"/>
          <w:szCs w:val="28"/>
        </w:rPr>
        <w:lastRenderedPageBreak/>
        <w:t>In addition, in the experience of our members</w:t>
      </w:r>
      <w:r w:rsidR="00CA2848">
        <w:rPr>
          <w:rFonts w:ascii="Times New Roman" w:hAnsi="Times New Roman"/>
          <w:sz w:val="28"/>
          <w:szCs w:val="28"/>
        </w:rPr>
        <w:t>, not all market participants have an LEI number.</w:t>
      </w:r>
    </w:p>
    <w:p w14:paraId="5690F73C" w14:textId="77777777" w:rsidR="00A0200B" w:rsidRDefault="00900791" w:rsidP="00900791">
      <w:pPr>
        <w:pStyle w:val="NormalWeb"/>
        <w:ind w:firstLine="720"/>
        <w:jc w:val="both"/>
        <w:rPr>
          <w:rFonts w:ascii="Times New Roman" w:hAnsi="Times New Roman"/>
          <w:b/>
          <w:sz w:val="28"/>
          <w:szCs w:val="28"/>
        </w:rPr>
      </w:pPr>
      <w:r w:rsidRPr="00900791">
        <w:rPr>
          <w:rFonts w:ascii="Times New Roman" w:hAnsi="Times New Roman"/>
          <w:b/>
          <w:sz w:val="28"/>
          <w:szCs w:val="28"/>
        </w:rPr>
        <w:t>Other Questions</w:t>
      </w:r>
    </w:p>
    <w:p w14:paraId="12699ABB" w14:textId="77777777" w:rsidR="00900791" w:rsidRDefault="00B3702F" w:rsidP="00900791">
      <w:pPr>
        <w:pStyle w:val="NormalWeb"/>
        <w:spacing w:before="0" w:beforeAutospacing="0" w:after="240" w:afterAutospacing="0"/>
        <w:ind w:firstLine="720"/>
        <w:jc w:val="both"/>
        <w:rPr>
          <w:rFonts w:ascii="Times New Roman" w:hAnsi="Times New Roman"/>
          <w:sz w:val="28"/>
          <w:szCs w:val="28"/>
        </w:rPr>
      </w:pPr>
      <w:r>
        <w:rPr>
          <w:rFonts w:ascii="Times New Roman" w:hAnsi="Times New Roman"/>
          <w:sz w:val="28"/>
          <w:szCs w:val="28"/>
        </w:rPr>
        <w:t>The experience of our members, the recent issue price regulations have not changed primary offering practices.</w:t>
      </w:r>
    </w:p>
    <w:p w14:paraId="7861BAEB" w14:textId="77777777" w:rsidR="001E58CB" w:rsidRDefault="007500E8" w:rsidP="008550C2">
      <w:pPr>
        <w:ind w:firstLine="720"/>
        <w:jc w:val="center"/>
      </w:pPr>
      <w:r>
        <w:t>* * *</w:t>
      </w:r>
    </w:p>
    <w:p w14:paraId="584CB20B" w14:textId="77777777" w:rsidR="00B41355" w:rsidRDefault="001056F7" w:rsidP="001056F7">
      <w:pPr>
        <w:pStyle w:val="NormalWeb"/>
        <w:ind w:firstLine="720"/>
        <w:jc w:val="both"/>
        <w:rPr>
          <w:rFonts w:ascii="Times New Roman" w:hAnsi="Times New Roman"/>
          <w:sz w:val="28"/>
          <w:szCs w:val="28"/>
        </w:rPr>
      </w:pPr>
      <w:r>
        <w:rPr>
          <w:rFonts w:ascii="Times New Roman" w:hAnsi="Times New Roman"/>
          <w:sz w:val="28"/>
          <w:szCs w:val="28"/>
        </w:rPr>
        <w:t xml:space="preserve">Thank you for the opportunity to provide these comments. </w:t>
      </w:r>
    </w:p>
    <w:p w14:paraId="115746C3" w14:textId="77777777" w:rsidR="000C6C4B" w:rsidRPr="004737D2" w:rsidRDefault="000C6C4B" w:rsidP="000C6C4B">
      <w:pPr>
        <w:pStyle w:val="NormalWeb"/>
        <w:jc w:val="both"/>
        <w:rPr>
          <w:rFonts w:ascii="Times New Roman" w:hAnsi="Times New Roman"/>
          <w:sz w:val="28"/>
          <w:szCs w:val="28"/>
        </w:rPr>
      </w:pPr>
      <w:r w:rsidRPr="004737D2">
        <w:rPr>
          <w:rFonts w:ascii="Times New Roman" w:hAnsi="Times New Roman"/>
          <w:sz w:val="28"/>
          <w:szCs w:val="28"/>
        </w:rPr>
        <w:t>Sincerely,</w:t>
      </w:r>
    </w:p>
    <w:p w14:paraId="5C42567E" w14:textId="2C726E17" w:rsidR="000C6C4B" w:rsidRPr="004737D2" w:rsidRDefault="003A3B0B" w:rsidP="000C6C4B">
      <w:pPr>
        <w:pStyle w:val="NormalWeb"/>
        <w:jc w:val="both"/>
        <w:rPr>
          <w:rFonts w:ascii="Times New Roman" w:hAnsi="Times New Roman"/>
          <w:sz w:val="28"/>
          <w:szCs w:val="28"/>
        </w:rPr>
      </w:pPr>
      <w:r>
        <w:rPr>
          <w:noProof/>
          <w:sz w:val="28"/>
          <w:szCs w:val="28"/>
        </w:rPr>
        <w:drawing>
          <wp:inline distT="0" distB="0" distL="0" distR="0" wp14:anchorId="5D7179BF" wp14:editId="02450235">
            <wp:extent cx="1365885" cy="567055"/>
            <wp:effectExtent l="0" t="0" r="571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885" cy="567055"/>
                    </a:xfrm>
                    <a:prstGeom prst="rect">
                      <a:avLst/>
                    </a:prstGeom>
                    <a:noFill/>
                    <a:ln>
                      <a:noFill/>
                    </a:ln>
                  </pic:spPr>
                </pic:pic>
              </a:graphicData>
            </a:graphic>
          </wp:inline>
        </w:drawing>
      </w:r>
    </w:p>
    <w:p w14:paraId="77FD0DB1" w14:textId="77777777" w:rsidR="000C6C4B" w:rsidRPr="004737D2" w:rsidRDefault="000C6C4B" w:rsidP="000C6C4B">
      <w:pPr>
        <w:pStyle w:val="NormalWeb"/>
        <w:contextualSpacing/>
        <w:jc w:val="both"/>
        <w:rPr>
          <w:rFonts w:ascii="Times New Roman" w:hAnsi="Times New Roman"/>
          <w:sz w:val="28"/>
          <w:szCs w:val="28"/>
        </w:rPr>
      </w:pPr>
      <w:r w:rsidRPr="004737D2">
        <w:rPr>
          <w:rFonts w:ascii="Times New Roman" w:hAnsi="Times New Roman"/>
          <w:sz w:val="28"/>
          <w:szCs w:val="28"/>
        </w:rPr>
        <w:t>Mike Nicholas</w:t>
      </w:r>
    </w:p>
    <w:p w14:paraId="42032B0C" w14:textId="77777777" w:rsidR="00D730FD" w:rsidRPr="00B418D5" w:rsidRDefault="000C6C4B" w:rsidP="00B418D5">
      <w:pPr>
        <w:pStyle w:val="NormalWeb"/>
        <w:contextualSpacing/>
        <w:jc w:val="both"/>
        <w:rPr>
          <w:rFonts w:ascii="Times New Roman" w:hAnsi="Times New Roman"/>
          <w:sz w:val="28"/>
          <w:szCs w:val="28"/>
        </w:rPr>
      </w:pPr>
      <w:r w:rsidRPr="004737D2">
        <w:rPr>
          <w:rFonts w:ascii="Times New Roman" w:hAnsi="Times New Roman"/>
          <w:sz w:val="28"/>
          <w:szCs w:val="28"/>
        </w:rPr>
        <w:t>Chief Executive Officer</w:t>
      </w:r>
    </w:p>
    <w:sectPr w:rsidR="00D730FD" w:rsidRPr="00B418D5" w:rsidSect="00730DAD">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1066"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F5FFB" w14:textId="77777777" w:rsidR="009313B9" w:rsidRDefault="009313B9">
      <w:r>
        <w:separator/>
      </w:r>
    </w:p>
  </w:endnote>
  <w:endnote w:type="continuationSeparator" w:id="0">
    <w:p w14:paraId="7763B32D" w14:textId="77777777" w:rsidR="009313B9" w:rsidRDefault="0093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0000000000000000000"/>
    <w:charset w:val="00"/>
    <w:family w:val="swiss"/>
    <w:notTrueType/>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6D18A4" w14:textId="77777777" w:rsidR="00C503FC" w:rsidRDefault="00C503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6C8ECB" w14:textId="4F26B389" w:rsidR="00D65C07" w:rsidRDefault="003A3B0B">
    <w:pPr>
      <w:pStyle w:val="Footer"/>
    </w:pPr>
    <w:r>
      <w:rPr>
        <w:noProof/>
      </w:rPr>
      <mc:AlternateContent>
        <mc:Choice Requires="wps">
          <w:drawing>
            <wp:anchor distT="0" distB="0" distL="114300" distR="114300" simplePos="0" relativeHeight="251660800" behindDoc="1" locked="0" layoutInCell="1" allowOverlap="1" wp14:anchorId="73558346" wp14:editId="06503C51">
              <wp:simplePos x="0" y="0"/>
              <wp:positionH relativeFrom="margin">
                <wp:posOffset>0</wp:posOffset>
              </wp:positionH>
              <wp:positionV relativeFrom="paragraph">
                <wp:posOffset>0</wp:posOffset>
              </wp:positionV>
              <wp:extent cx="2560320" cy="314325"/>
              <wp:effectExtent l="0" t="0" r="5080" b="3175"/>
              <wp:wrapNone/>
              <wp:docPr id="2" name="zzmpTrailer_1078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EFB27" w14:textId="77777777" w:rsidR="00D65C07" w:rsidRDefault="00D65C07">
                          <w:pPr>
                            <w:pStyle w:val="MacPacTrailer"/>
                          </w:pPr>
                          <w:r>
                            <w:t>4816-8610-8498.1</w:t>
                          </w:r>
                        </w:p>
                        <w:p w14:paraId="3B45D552" w14:textId="77777777" w:rsidR="00D65C07" w:rsidRDefault="00D65C07">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58346" id="_x0000_t202" coordsize="21600,21600" o:spt="202" path="m0,0l0,21600,21600,21600,21600,0xe">
              <v:stroke joinstyle="miter"/>
              <v:path gradientshapeok="t" o:connecttype="rect"/>
            </v:shapetype>
            <v:shape id="zzmpTrailer_1078_19" o:spid="_x0000_s1026" type="#_x0000_t202" style="position:absolute;margin-left:0;margin-top:0;width:201.6pt;height:24.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" filled="f" stroked="f">
              <v:textbox inset="0,0,0,0">
                <w:txbxContent>
                  <w:p w14:paraId="4F8EFB27" w14:textId="77777777" w:rsidR="00D65C07" w:rsidRDefault="00D65C07">
                    <w:pPr>
                      <w:pStyle w:val="MacPacTrailer"/>
                    </w:pPr>
                    <w:r>
                      <w:t>4816-8610-8498.1</w:t>
                    </w:r>
                  </w:p>
                  <w:p w14:paraId="3B45D552" w14:textId="77777777" w:rsidR="00D65C07" w:rsidRDefault="00D65C07">
                    <w:pPr>
                      <w:pStyle w:val="MacPacTrailer"/>
                    </w:pPr>
                  </w:p>
                </w:txbxContent>
              </v:textbox>
              <w10:wrap anchorx="margin"/>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0A741D" w14:textId="350BC96F" w:rsidR="00D65C07" w:rsidRDefault="003A3B0B">
    <w:pPr>
      <w:pStyle w:val="Footer"/>
    </w:pPr>
    <w:r>
      <w:rPr>
        <w:noProof/>
      </w:rPr>
      <mc:AlternateContent>
        <mc:Choice Requires="wps">
          <w:drawing>
            <wp:anchor distT="0" distB="0" distL="114300" distR="114300" simplePos="0" relativeHeight="251662848" behindDoc="1" locked="0" layoutInCell="1" allowOverlap="1" wp14:anchorId="59E8B5B0" wp14:editId="2849DF64">
              <wp:simplePos x="0" y="0"/>
              <wp:positionH relativeFrom="margin">
                <wp:posOffset>0</wp:posOffset>
              </wp:positionH>
              <wp:positionV relativeFrom="paragraph">
                <wp:posOffset>0</wp:posOffset>
              </wp:positionV>
              <wp:extent cx="2560320" cy="356235"/>
              <wp:effectExtent l="0" t="0" r="5080" b="0"/>
              <wp:wrapNone/>
              <wp:docPr id="1" name="zzmpTrailer_1078_1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62A81" w14:textId="77777777" w:rsidR="00D65C07" w:rsidRDefault="00D65C07">
                          <w:pPr>
                            <w:pStyle w:val="MacPacTrailer"/>
                          </w:pPr>
                          <w:r>
                            <w:t>4816-8610-8498.1</w:t>
                          </w:r>
                        </w:p>
                        <w:p w14:paraId="20795103" w14:textId="77777777" w:rsidR="00D65C07" w:rsidRDefault="00D65C07">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8B5B0" id="_x0000_t202" coordsize="21600,21600" o:spt="202" path="m0,0l0,21600,21600,21600,21600,0xe">
              <v:stroke joinstyle="miter"/>
              <v:path gradientshapeok="t" o:connecttype="rect"/>
            </v:shapetype>
            <v:shape id="zzmpTrailer_1078_1B" o:spid="_x0000_s1027" type="#_x0000_t202" style="position:absolute;margin-left:0;margin-top:0;width:201.6pt;height:28.0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" filled="f" stroked="f">
              <v:textbox inset="0,0,0,0">
                <w:txbxContent>
                  <w:p w14:paraId="2E662A81" w14:textId="77777777" w:rsidR="00D65C07" w:rsidRDefault="00D65C07">
                    <w:pPr>
                      <w:pStyle w:val="MacPacTrailer"/>
                    </w:pPr>
                    <w:r>
                      <w:t>4816-8610-8498.1</w:t>
                    </w:r>
                  </w:p>
                  <w:p w14:paraId="20795103" w14:textId="77777777" w:rsidR="00D65C07" w:rsidRDefault="00D65C07">
                    <w:pPr>
                      <w:pStyle w:val="MacPacTrailer"/>
                    </w:pP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A2957" w14:textId="77777777" w:rsidR="009313B9" w:rsidRDefault="009313B9">
      <w:r>
        <w:separator/>
      </w:r>
    </w:p>
  </w:footnote>
  <w:footnote w:type="continuationSeparator" w:id="0">
    <w:p w14:paraId="00FBE83F" w14:textId="77777777" w:rsidR="009313B9" w:rsidRDefault="009313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851E43" w14:textId="77777777" w:rsidR="00F863F4" w:rsidRDefault="009313B9">
    <w:pPr>
      <w:pStyle w:val="Header"/>
    </w:pPr>
    <w:r>
      <w:rPr>
        <w:noProof/>
      </w:rPr>
      <w:pict w14:anchorId="3566DDA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8.45pt;height:142.1pt;rotation:315;z-index:-251658752;mso-position-horizontal:center;mso-position-horizontal-relative:margin;mso-position-vertical:center;mso-position-vertical-relative:margin" o:allowincell="f" fillcolor="#70ad47" stroked="f">
          <v:textpath style="font-family:&quot;Times New Roman&quot;;font-size:1pt" string="BDA 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22F323" w14:textId="77777777" w:rsidR="00F863F4" w:rsidRDefault="009313B9">
    <w:pPr>
      <w:pStyle w:val="Header"/>
    </w:pPr>
    <w:r>
      <w:rPr>
        <w:noProof/>
      </w:rPr>
      <w:pict w14:anchorId="4652D8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8.45pt;height:142.1pt;rotation:315;z-index:-251659776;mso-position-horizontal:center;mso-position-horizontal-relative:margin;mso-position-vertical:center;mso-position-vertical-relative:margin" o:allowincell="f" fillcolor="#70ad47" stroked="f">
          <v:textpath style="font-family:&quot;Times New Roman&quot;;font-size:1pt" string="BDA 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BD1D8B" w14:textId="77777777" w:rsidR="00F863F4" w:rsidRDefault="009313B9">
    <w:pPr>
      <w:pStyle w:val="Header"/>
    </w:pPr>
    <w:r>
      <w:rPr>
        <w:noProof/>
      </w:rPr>
      <w:pict w14:anchorId="329A061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8.45pt;height:142.1pt;rotation:315;z-index:-251657728;mso-position-horizontal:center;mso-position-horizontal-relative:margin;mso-position-vertical:center;mso-position-vertical-relative:margin" o:allowincell="f" fillcolor="#70ad47" stroked="f">
          <v:textpath style="font-family:&quot;Times New Roman&quot;;font-size:1pt" string="BDA 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745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24A80"/>
    <w:multiLevelType w:val="hybridMultilevel"/>
    <w:tmpl w:val="4F74895E"/>
    <w:lvl w:ilvl="0" w:tplc="F08CE8C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897079"/>
    <w:multiLevelType w:val="hybridMultilevel"/>
    <w:tmpl w:val="72F23CE0"/>
    <w:lvl w:ilvl="0" w:tplc="081C9E9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5360440"/>
    <w:multiLevelType w:val="hybridMultilevel"/>
    <w:tmpl w:val="671056F0"/>
    <w:lvl w:ilvl="0" w:tplc="069ABEDA">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37C11597"/>
    <w:multiLevelType w:val="hybridMultilevel"/>
    <w:tmpl w:val="047C4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E0434D"/>
    <w:multiLevelType w:val="hybridMultilevel"/>
    <w:tmpl w:val="A8AC45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943325"/>
    <w:multiLevelType w:val="hybridMultilevel"/>
    <w:tmpl w:val="329871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B852D0"/>
    <w:multiLevelType w:val="hybridMultilevel"/>
    <w:tmpl w:val="DB90B296"/>
    <w:lvl w:ilvl="0" w:tplc="500CB460">
      <w:start w:val="1"/>
      <w:numFmt w:val="bullet"/>
      <w:pStyle w:val="DB-Bullet10115"/>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1690B8A"/>
    <w:multiLevelType w:val="hybridMultilevel"/>
    <w:tmpl w:val="D32618CE"/>
    <w:lvl w:ilvl="0" w:tplc="04090001">
      <w:start w:val="1"/>
      <w:numFmt w:val="bullet"/>
      <w:lvlText w:val=""/>
      <w:lvlJc w:val="left"/>
      <w:pPr>
        <w:ind w:left="1511" w:hanging="360"/>
      </w:pPr>
      <w:rPr>
        <w:rFonts w:ascii="Symbol" w:hAnsi="Symbol"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9">
    <w:nsid w:val="73E30E49"/>
    <w:multiLevelType w:val="hybridMultilevel"/>
    <w:tmpl w:val="EB467642"/>
    <w:lvl w:ilvl="0" w:tplc="685E47B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DF43F77"/>
    <w:multiLevelType w:val="hybridMultilevel"/>
    <w:tmpl w:val="F0C44F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7"/>
  </w:num>
  <w:num w:numId="3">
    <w:abstractNumId w:val="7"/>
  </w:num>
  <w:num w:numId="4">
    <w:abstractNumId w:val="0"/>
  </w:num>
  <w:num w:numId="5">
    <w:abstractNumId w:val="9"/>
  </w:num>
  <w:num w:numId="6">
    <w:abstractNumId w:val="1"/>
  </w:num>
  <w:num w:numId="7">
    <w:abstractNumId w:val="2"/>
  </w:num>
  <w:num w:numId="8">
    <w:abstractNumId w:val="3"/>
  </w:num>
  <w:num w:numId="9">
    <w:abstractNumId w:val="6"/>
  </w:num>
  <w:num w:numId="10">
    <w:abstractNumId w:val="4"/>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64" w:dllVersion="6" w:nlCheck="1" w:checkStyle="0"/>
  <w:activeWritingStyle w:appName="MSWord" w:lang="en-US" w:vendorID="64" w:dllVersion="0" w:nlCheck="1" w:checkStyle="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62"/>
    <w:rsid w:val="00001601"/>
    <w:rsid w:val="00021335"/>
    <w:rsid w:val="000219A2"/>
    <w:rsid w:val="0002638B"/>
    <w:rsid w:val="000269F5"/>
    <w:rsid w:val="00027762"/>
    <w:rsid w:val="00036C9F"/>
    <w:rsid w:val="00036D95"/>
    <w:rsid w:val="0004676D"/>
    <w:rsid w:val="00047B8C"/>
    <w:rsid w:val="00047F4F"/>
    <w:rsid w:val="00056139"/>
    <w:rsid w:val="00056347"/>
    <w:rsid w:val="00063CB9"/>
    <w:rsid w:val="00063CE8"/>
    <w:rsid w:val="00064C57"/>
    <w:rsid w:val="00066A13"/>
    <w:rsid w:val="000701AF"/>
    <w:rsid w:val="000801C6"/>
    <w:rsid w:val="000829E8"/>
    <w:rsid w:val="00085B30"/>
    <w:rsid w:val="00092EDC"/>
    <w:rsid w:val="00093E71"/>
    <w:rsid w:val="000976A7"/>
    <w:rsid w:val="000A5D53"/>
    <w:rsid w:val="000A6A64"/>
    <w:rsid w:val="000B6112"/>
    <w:rsid w:val="000C2B7C"/>
    <w:rsid w:val="000C4152"/>
    <w:rsid w:val="000C4A49"/>
    <w:rsid w:val="000C5876"/>
    <w:rsid w:val="000C6163"/>
    <w:rsid w:val="000C61E7"/>
    <w:rsid w:val="000C6C4B"/>
    <w:rsid w:val="000D0C40"/>
    <w:rsid w:val="000D312A"/>
    <w:rsid w:val="000D6435"/>
    <w:rsid w:val="000D69D3"/>
    <w:rsid w:val="000D6ECC"/>
    <w:rsid w:val="000E3356"/>
    <w:rsid w:val="000E6CA0"/>
    <w:rsid w:val="000F2A26"/>
    <w:rsid w:val="000F3771"/>
    <w:rsid w:val="00100636"/>
    <w:rsid w:val="001056F7"/>
    <w:rsid w:val="00112331"/>
    <w:rsid w:val="00112626"/>
    <w:rsid w:val="00117A5B"/>
    <w:rsid w:val="00117E7A"/>
    <w:rsid w:val="00130572"/>
    <w:rsid w:val="00130A71"/>
    <w:rsid w:val="001356D6"/>
    <w:rsid w:val="0014349A"/>
    <w:rsid w:val="00150B62"/>
    <w:rsid w:val="00150DA0"/>
    <w:rsid w:val="001573C1"/>
    <w:rsid w:val="00157463"/>
    <w:rsid w:val="00161CF1"/>
    <w:rsid w:val="00163A41"/>
    <w:rsid w:val="001642BB"/>
    <w:rsid w:val="00167569"/>
    <w:rsid w:val="00170276"/>
    <w:rsid w:val="00175CE4"/>
    <w:rsid w:val="00176F8E"/>
    <w:rsid w:val="001860FD"/>
    <w:rsid w:val="0018745B"/>
    <w:rsid w:val="0019058B"/>
    <w:rsid w:val="001A56E6"/>
    <w:rsid w:val="001B4246"/>
    <w:rsid w:val="001C51CA"/>
    <w:rsid w:val="001C6BB9"/>
    <w:rsid w:val="001E08F1"/>
    <w:rsid w:val="001E4F31"/>
    <w:rsid w:val="001E58CB"/>
    <w:rsid w:val="001E5CF6"/>
    <w:rsid w:val="001E6598"/>
    <w:rsid w:val="001E7FAA"/>
    <w:rsid w:val="001F2EDB"/>
    <w:rsid w:val="00201FC9"/>
    <w:rsid w:val="00202A34"/>
    <w:rsid w:val="00202BF0"/>
    <w:rsid w:val="00202D9F"/>
    <w:rsid w:val="002112BE"/>
    <w:rsid w:val="00214674"/>
    <w:rsid w:val="00214B52"/>
    <w:rsid w:val="00227A8D"/>
    <w:rsid w:val="0024448F"/>
    <w:rsid w:val="00251593"/>
    <w:rsid w:val="00252B4D"/>
    <w:rsid w:val="00255FDD"/>
    <w:rsid w:val="00257646"/>
    <w:rsid w:val="00261B02"/>
    <w:rsid w:val="002708E0"/>
    <w:rsid w:val="002715FF"/>
    <w:rsid w:val="00272A43"/>
    <w:rsid w:val="00273E63"/>
    <w:rsid w:val="00274E1B"/>
    <w:rsid w:val="002757B3"/>
    <w:rsid w:val="00277548"/>
    <w:rsid w:val="00280800"/>
    <w:rsid w:val="00280ECE"/>
    <w:rsid w:val="00281CF1"/>
    <w:rsid w:val="00281FCF"/>
    <w:rsid w:val="00285019"/>
    <w:rsid w:val="002926D7"/>
    <w:rsid w:val="002B520B"/>
    <w:rsid w:val="002B5752"/>
    <w:rsid w:val="002D11B1"/>
    <w:rsid w:val="002F2859"/>
    <w:rsid w:val="002F43DC"/>
    <w:rsid w:val="00301E17"/>
    <w:rsid w:val="003049B7"/>
    <w:rsid w:val="00307363"/>
    <w:rsid w:val="003120C7"/>
    <w:rsid w:val="0031779A"/>
    <w:rsid w:val="00321BE4"/>
    <w:rsid w:val="00322406"/>
    <w:rsid w:val="00322988"/>
    <w:rsid w:val="00324807"/>
    <w:rsid w:val="00337544"/>
    <w:rsid w:val="00340178"/>
    <w:rsid w:val="00376DDE"/>
    <w:rsid w:val="0038137C"/>
    <w:rsid w:val="003871B5"/>
    <w:rsid w:val="00395269"/>
    <w:rsid w:val="003A2DBA"/>
    <w:rsid w:val="003A369A"/>
    <w:rsid w:val="003A3B0B"/>
    <w:rsid w:val="003A5B08"/>
    <w:rsid w:val="003B0043"/>
    <w:rsid w:val="003B18CE"/>
    <w:rsid w:val="003B4066"/>
    <w:rsid w:val="003B5B3B"/>
    <w:rsid w:val="003B6A39"/>
    <w:rsid w:val="003C09E2"/>
    <w:rsid w:val="003C2D49"/>
    <w:rsid w:val="003C52D4"/>
    <w:rsid w:val="003D7D59"/>
    <w:rsid w:val="003E0206"/>
    <w:rsid w:val="003E20CF"/>
    <w:rsid w:val="003F0627"/>
    <w:rsid w:val="003F383E"/>
    <w:rsid w:val="003F40AF"/>
    <w:rsid w:val="004050BE"/>
    <w:rsid w:val="0040571F"/>
    <w:rsid w:val="0041704E"/>
    <w:rsid w:val="00420DFB"/>
    <w:rsid w:val="004210FE"/>
    <w:rsid w:val="00424517"/>
    <w:rsid w:val="00425B49"/>
    <w:rsid w:val="004271D9"/>
    <w:rsid w:val="00431546"/>
    <w:rsid w:val="004319D9"/>
    <w:rsid w:val="00447AF4"/>
    <w:rsid w:val="00451F74"/>
    <w:rsid w:val="00453AB6"/>
    <w:rsid w:val="0046176C"/>
    <w:rsid w:val="00472429"/>
    <w:rsid w:val="004737D2"/>
    <w:rsid w:val="00475952"/>
    <w:rsid w:val="00485A8C"/>
    <w:rsid w:val="004956B8"/>
    <w:rsid w:val="004A16DB"/>
    <w:rsid w:val="004A5493"/>
    <w:rsid w:val="004B3AD6"/>
    <w:rsid w:val="004C4CD9"/>
    <w:rsid w:val="004D23FD"/>
    <w:rsid w:val="004D4C7D"/>
    <w:rsid w:val="004E5564"/>
    <w:rsid w:val="004E58EE"/>
    <w:rsid w:val="004E60CA"/>
    <w:rsid w:val="004F2CB4"/>
    <w:rsid w:val="004F7B47"/>
    <w:rsid w:val="0050252D"/>
    <w:rsid w:val="005026C5"/>
    <w:rsid w:val="00503BE1"/>
    <w:rsid w:val="00505336"/>
    <w:rsid w:val="005123D2"/>
    <w:rsid w:val="005160EC"/>
    <w:rsid w:val="0052362B"/>
    <w:rsid w:val="00523C12"/>
    <w:rsid w:val="0052766E"/>
    <w:rsid w:val="00536DD0"/>
    <w:rsid w:val="0054015A"/>
    <w:rsid w:val="0055267F"/>
    <w:rsid w:val="005549D4"/>
    <w:rsid w:val="00564E51"/>
    <w:rsid w:val="00565B35"/>
    <w:rsid w:val="005725D4"/>
    <w:rsid w:val="00577C2A"/>
    <w:rsid w:val="00582FD1"/>
    <w:rsid w:val="0058693A"/>
    <w:rsid w:val="005951B6"/>
    <w:rsid w:val="00595A18"/>
    <w:rsid w:val="00595E22"/>
    <w:rsid w:val="005B05E8"/>
    <w:rsid w:val="005B2E85"/>
    <w:rsid w:val="005C0F3A"/>
    <w:rsid w:val="005C2F02"/>
    <w:rsid w:val="005C3EB2"/>
    <w:rsid w:val="005C4966"/>
    <w:rsid w:val="005C4E28"/>
    <w:rsid w:val="005C792E"/>
    <w:rsid w:val="005D69C9"/>
    <w:rsid w:val="005E1591"/>
    <w:rsid w:val="005E7361"/>
    <w:rsid w:val="005E786A"/>
    <w:rsid w:val="005F3A40"/>
    <w:rsid w:val="0060065A"/>
    <w:rsid w:val="006008A9"/>
    <w:rsid w:val="00601C09"/>
    <w:rsid w:val="00602DCE"/>
    <w:rsid w:val="00604667"/>
    <w:rsid w:val="006114DB"/>
    <w:rsid w:val="0062249D"/>
    <w:rsid w:val="006230D7"/>
    <w:rsid w:val="006368CC"/>
    <w:rsid w:val="00642E25"/>
    <w:rsid w:val="00644CB2"/>
    <w:rsid w:val="006479BC"/>
    <w:rsid w:val="006533CD"/>
    <w:rsid w:val="00655D1F"/>
    <w:rsid w:val="00660537"/>
    <w:rsid w:val="00660D50"/>
    <w:rsid w:val="006637CE"/>
    <w:rsid w:val="0067261C"/>
    <w:rsid w:val="0067561F"/>
    <w:rsid w:val="00680C05"/>
    <w:rsid w:val="0069081B"/>
    <w:rsid w:val="006933A9"/>
    <w:rsid w:val="006A3137"/>
    <w:rsid w:val="006A37F9"/>
    <w:rsid w:val="006A6F0B"/>
    <w:rsid w:val="006B420A"/>
    <w:rsid w:val="006B481A"/>
    <w:rsid w:val="006C281E"/>
    <w:rsid w:val="006C4742"/>
    <w:rsid w:val="006D0069"/>
    <w:rsid w:val="006D19BB"/>
    <w:rsid w:val="006D697D"/>
    <w:rsid w:val="006D775C"/>
    <w:rsid w:val="006E2E7F"/>
    <w:rsid w:val="006E48B2"/>
    <w:rsid w:val="006E6479"/>
    <w:rsid w:val="007041E8"/>
    <w:rsid w:val="007055F8"/>
    <w:rsid w:val="00705B23"/>
    <w:rsid w:val="007074CD"/>
    <w:rsid w:val="00707D69"/>
    <w:rsid w:val="007113C3"/>
    <w:rsid w:val="0072630D"/>
    <w:rsid w:val="00730DAD"/>
    <w:rsid w:val="007330E7"/>
    <w:rsid w:val="00737A85"/>
    <w:rsid w:val="00737CBF"/>
    <w:rsid w:val="007500E8"/>
    <w:rsid w:val="00752169"/>
    <w:rsid w:val="0075298F"/>
    <w:rsid w:val="00760209"/>
    <w:rsid w:val="007718D2"/>
    <w:rsid w:val="00772E49"/>
    <w:rsid w:val="007732A2"/>
    <w:rsid w:val="00773AAE"/>
    <w:rsid w:val="00774780"/>
    <w:rsid w:val="0077764A"/>
    <w:rsid w:val="007839E4"/>
    <w:rsid w:val="0078685B"/>
    <w:rsid w:val="00792D59"/>
    <w:rsid w:val="007A1562"/>
    <w:rsid w:val="007A5A5E"/>
    <w:rsid w:val="007A7601"/>
    <w:rsid w:val="007B74EC"/>
    <w:rsid w:val="007C08B8"/>
    <w:rsid w:val="007C67C2"/>
    <w:rsid w:val="007E14C3"/>
    <w:rsid w:val="007E211B"/>
    <w:rsid w:val="007E2D83"/>
    <w:rsid w:val="007F19E2"/>
    <w:rsid w:val="007F5BEC"/>
    <w:rsid w:val="00800B92"/>
    <w:rsid w:val="008060BE"/>
    <w:rsid w:val="00816E2E"/>
    <w:rsid w:val="008261DC"/>
    <w:rsid w:val="00827137"/>
    <w:rsid w:val="00833934"/>
    <w:rsid w:val="0083458A"/>
    <w:rsid w:val="00841B85"/>
    <w:rsid w:val="00841DA6"/>
    <w:rsid w:val="00846485"/>
    <w:rsid w:val="00850038"/>
    <w:rsid w:val="0085438E"/>
    <w:rsid w:val="008546FF"/>
    <w:rsid w:val="008550C2"/>
    <w:rsid w:val="00867561"/>
    <w:rsid w:val="008725D0"/>
    <w:rsid w:val="0087357E"/>
    <w:rsid w:val="008738D7"/>
    <w:rsid w:val="00876D68"/>
    <w:rsid w:val="00877660"/>
    <w:rsid w:val="0087791C"/>
    <w:rsid w:val="00886817"/>
    <w:rsid w:val="0089042A"/>
    <w:rsid w:val="00892918"/>
    <w:rsid w:val="008A0B91"/>
    <w:rsid w:val="008A1D3C"/>
    <w:rsid w:val="008A2A61"/>
    <w:rsid w:val="008B1C88"/>
    <w:rsid w:val="008B4935"/>
    <w:rsid w:val="008C33CF"/>
    <w:rsid w:val="008D3412"/>
    <w:rsid w:val="008E23E8"/>
    <w:rsid w:val="008E2B05"/>
    <w:rsid w:val="008E4FD9"/>
    <w:rsid w:val="008E74A8"/>
    <w:rsid w:val="008F6A51"/>
    <w:rsid w:val="00900791"/>
    <w:rsid w:val="00901DE4"/>
    <w:rsid w:val="00901F99"/>
    <w:rsid w:val="0091006D"/>
    <w:rsid w:val="0091055F"/>
    <w:rsid w:val="009149A7"/>
    <w:rsid w:val="00916236"/>
    <w:rsid w:val="00916E86"/>
    <w:rsid w:val="00920943"/>
    <w:rsid w:val="009313B9"/>
    <w:rsid w:val="00931482"/>
    <w:rsid w:val="00934D6E"/>
    <w:rsid w:val="00936F3A"/>
    <w:rsid w:val="00981B23"/>
    <w:rsid w:val="00982B9C"/>
    <w:rsid w:val="0099110D"/>
    <w:rsid w:val="009914D7"/>
    <w:rsid w:val="009A39F3"/>
    <w:rsid w:val="009A79A9"/>
    <w:rsid w:val="009B54B7"/>
    <w:rsid w:val="009C0F21"/>
    <w:rsid w:val="009C15F8"/>
    <w:rsid w:val="009D073F"/>
    <w:rsid w:val="009D0F1D"/>
    <w:rsid w:val="009D558C"/>
    <w:rsid w:val="009D6ABF"/>
    <w:rsid w:val="009E51DE"/>
    <w:rsid w:val="009E5AF0"/>
    <w:rsid w:val="009F3E2E"/>
    <w:rsid w:val="009F7A25"/>
    <w:rsid w:val="00A00991"/>
    <w:rsid w:val="00A0200B"/>
    <w:rsid w:val="00A03616"/>
    <w:rsid w:val="00A14073"/>
    <w:rsid w:val="00A2011F"/>
    <w:rsid w:val="00A263AF"/>
    <w:rsid w:val="00A433FB"/>
    <w:rsid w:val="00A547CF"/>
    <w:rsid w:val="00A551DA"/>
    <w:rsid w:val="00A72645"/>
    <w:rsid w:val="00A726A4"/>
    <w:rsid w:val="00A7361F"/>
    <w:rsid w:val="00A747CF"/>
    <w:rsid w:val="00A76C6C"/>
    <w:rsid w:val="00A80047"/>
    <w:rsid w:val="00A82F4B"/>
    <w:rsid w:val="00A84502"/>
    <w:rsid w:val="00A9095D"/>
    <w:rsid w:val="00A93037"/>
    <w:rsid w:val="00A9505A"/>
    <w:rsid w:val="00AA291A"/>
    <w:rsid w:val="00AA4FBB"/>
    <w:rsid w:val="00AB6A5C"/>
    <w:rsid w:val="00AC0F50"/>
    <w:rsid w:val="00AC330A"/>
    <w:rsid w:val="00AC6421"/>
    <w:rsid w:val="00AD1A8E"/>
    <w:rsid w:val="00AD281B"/>
    <w:rsid w:val="00AD45F7"/>
    <w:rsid w:val="00AD4C99"/>
    <w:rsid w:val="00AE2AD7"/>
    <w:rsid w:val="00AF215E"/>
    <w:rsid w:val="00AF61F4"/>
    <w:rsid w:val="00B02047"/>
    <w:rsid w:val="00B0323D"/>
    <w:rsid w:val="00B041AB"/>
    <w:rsid w:val="00B068C5"/>
    <w:rsid w:val="00B06CC3"/>
    <w:rsid w:val="00B112D8"/>
    <w:rsid w:val="00B16C5F"/>
    <w:rsid w:val="00B23630"/>
    <w:rsid w:val="00B27F62"/>
    <w:rsid w:val="00B31638"/>
    <w:rsid w:val="00B36067"/>
    <w:rsid w:val="00B3702F"/>
    <w:rsid w:val="00B37DB9"/>
    <w:rsid w:val="00B41355"/>
    <w:rsid w:val="00B418D5"/>
    <w:rsid w:val="00B41EA7"/>
    <w:rsid w:val="00B43569"/>
    <w:rsid w:val="00B44897"/>
    <w:rsid w:val="00B50D30"/>
    <w:rsid w:val="00B52730"/>
    <w:rsid w:val="00B56D68"/>
    <w:rsid w:val="00B63AEC"/>
    <w:rsid w:val="00B72B97"/>
    <w:rsid w:val="00B82371"/>
    <w:rsid w:val="00B865B0"/>
    <w:rsid w:val="00B92042"/>
    <w:rsid w:val="00B94CB1"/>
    <w:rsid w:val="00B97088"/>
    <w:rsid w:val="00BA081C"/>
    <w:rsid w:val="00BB224A"/>
    <w:rsid w:val="00BC1873"/>
    <w:rsid w:val="00BC6DF7"/>
    <w:rsid w:val="00BC719B"/>
    <w:rsid w:val="00BD1DC3"/>
    <w:rsid w:val="00BD24D9"/>
    <w:rsid w:val="00BE2F14"/>
    <w:rsid w:val="00BE4B24"/>
    <w:rsid w:val="00BE5219"/>
    <w:rsid w:val="00BE7094"/>
    <w:rsid w:val="00BF0A00"/>
    <w:rsid w:val="00BF3E79"/>
    <w:rsid w:val="00BF4CA0"/>
    <w:rsid w:val="00BF658B"/>
    <w:rsid w:val="00C0084D"/>
    <w:rsid w:val="00C11D8B"/>
    <w:rsid w:val="00C2111D"/>
    <w:rsid w:val="00C24C4B"/>
    <w:rsid w:val="00C503FC"/>
    <w:rsid w:val="00C550F2"/>
    <w:rsid w:val="00C60578"/>
    <w:rsid w:val="00C73CF0"/>
    <w:rsid w:val="00C75B2C"/>
    <w:rsid w:val="00C804C0"/>
    <w:rsid w:val="00C874E4"/>
    <w:rsid w:val="00C90771"/>
    <w:rsid w:val="00C92EF1"/>
    <w:rsid w:val="00C92F18"/>
    <w:rsid w:val="00C93CB1"/>
    <w:rsid w:val="00CA131A"/>
    <w:rsid w:val="00CA1418"/>
    <w:rsid w:val="00CA218B"/>
    <w:rsid w:val="00CA2848"/>
    <w:rsid w:val="00CA3BC8"/>
    <w:rsid w:val="00CB43E6"/>
    <w:rsid w:val="00CC5524"/>
    <w:rsid w:val="00CD4E99"/>
    <w:rsid w:val="00CE6785"/>
    <w:rsid w:val="00CF3C2C"/>
    <w:rsid w:val="00CF6EC1"/>
    <w:rsid w:val="00D006E4"/>
    <w:rsid w:val="00D01A55"/>
    <w:rsid w:val="00D05F7E"/>
    <w:rsid w:val="00D17E9F"/>
    <w:rsid w:val="00D33496"/>
    <w:rsid w:val="00D33799"/>
    <w:rsid w:val="00D41B57"/>
    <w:rsid w:val="00D54B2D"/>
    <w:rsid w:val="00D56071"/>
    <w:rsid w:val="00D65497"/>
    <w:rsid w:val="00D65C07"/>
    <w:rsid w:val="00D66438"/>
    <w:rsid w:val="00D66F94"/>
    <w:rsid w:val="00D722B6"/>
    <w:rsid w:val="00D7243B"/>
    <w:rsid w:val="00D730FD"/>
    <w:rsid w:val="00D765CF"/>
    <w:rsid w:val="00D903D1"/>
    <w:rsid w:val="00D949C0"/>
    <w:rsid w:val="00D94D10"/>
    <w:rsid w:val="00D955DE"/>
    <w:rsid w:val="00D9607C"/>
    <w:rsid w:val="00DA7587"/>
    <w:rsid w:val="00DB405B"/>
    <w:rsid w:val="00DC523F"/>
    <w:rsid w:val="00DC7353"/>
    <w:rsid w:val="00DD308C"/>
    <w:rsid w:val="00DD50C1"/>
    <w:rsid w:val="00DE2A10"/>
    <w:rsid w:val="00DE6389"/>
    <w:rsid w:val="00DE7BE1"/>
    <w:rsid w:val="00DF0544"/>
    <w:rsid w:val="00DF2CEE"/>
    <w:rsid w:val="00DF7845"/>
    <w:rsid w:val="00E02CCC"/>
    <w:rsid w:val="00E0382F"/>
    <w:rsid w:val="00E0615A"/>
    <w:rsid w:val="00E064E7"/>
    <w:rsid w:val="00E07296"/>
    <w:rsid w:val="00E13268"/>
    <w:rsid w:val="00E2139A"/>
    <w:rsid w:val="00E250F7"/>
    <w:rsid w:val="00E35AC5"/>
    <w:rsid w:val="00E35C35"/>
    <w:rsid w:val="00E367C9"/>
    <w:rsid w:val="00E473EC"/>
    <w:rsid w:val="00E47A1F"/>
    <w:rsid w:val="00E50675"/>
    <w:rsid w:val="00E70BC4"/>
    <w:rsid w:val="00E738DE"/>
    <w:rsid w:val="00E739C6"/>
    <w:rsid w:val="00E8238A"/>
    <w:rsid w:val="00E84757"/>
    <w:rsid w:val="00E84B66"/>
    <w:rsid w:val="00E84B95"/>
    <w:rsid w:val="00E84F4A"/>
    <w:rsid w:val="00E84F70"/>
    <w:rsid w:val="00E857E2"/>
    <w:rsid w:val="00E86CEA"/>
    <w:rsid w:val="00E86EAF"/>
    <w:rsid w:val="00E9031C"/>
    <w:rsid w:val="00E91310"/>
    <w:rsid w:val="00E91A9A"/>
    <w:rsid w:val="00EA0681"/>
    <w:rsid w:val="00EA732B"/>
    <w:rsid w:val="00EB0451"/>
    <w:rsid w:val="00EB3E08"/>
    <w:rsid w:val="00EC2954"/>
    <w:rsid w:val="00EC3FAE"/>
    <w:rsid w:val="00ED0359"/>
    <w:rsid w:val="00ED0616"/>
    <w:rsid w:val="00ED763A"/>
    <w:rsid w:val="00EE0252"/>
    <w:rsid w:val="00EE1DFE"/>
    <w:rsid w:val="00EF5692"/>
    <w:rsid w:val="00F11AF4"/>
    <w:rsid w:val="00F11CA2"/>
    <w:rsid w:val="00F125E6"/>
    <w:rsid w:val="00F12E2C"/>
    <w:rsid w:val="00F1628F"/>
    <w:rsid w:val="00F17FC6"/>
    <w:rsid w:val="00F212CF"/>
    <w:rsid w:val="00F32397"/>
    <w:rsid w:val="00F33828"/>
    <w:rsid w:val="00F33853"/>
    <w:rsid w:val="00F34D7A"/>
    <w:rsid w:val="00F36507"/>
    <w:rsid w:val="00F46A76"/>
    <w:rsid w:val="00F46E0A"/>
    <w:rsid w:val="00F5198C"/>
    <w:rsid w:val="00F63686"/>
    <w:rsid w:val="00F66EA5"/>
    <w:rsid w:val="00F71AAB"/>
    <w:rsid w:val="00F71C85"/>
    <w:rsid w:val="00F778A6"/>
    <w:rsid w:val="00F81D5E"/>
    <w:rsid w:val="00F857F1"/>
    <w:rsid w:val="00F863F4"/>
    <w:rsid w:val="00F86710"/>
    <w:rsid w:val="00F86D97"/>
    <w:rsid w:val="00F87D51"/>
    <w:rsid w:val="00F90501"/>
    <w:rsid w:val="00F90AE1"/>
    <w:rsid w:val="00F91162"/>
    <w:rsid w:val="00F97CBE"/>
    <w:rsid w:val="00FA041F"/>
    <w:rsid w:val="00FA4B10"/>
    <w:rsid w:val="00FB245D"/>
    <w:rsid w:val="00FC1AC0"/>
    <w:rsid w:val="00FC4DA0"/>
    <w:rsid w:val="00FE17E6"/>
    <w:rsid w:val="00FE2885"/>
    <w:rsid w:val="00FF01A4"/>
    <w:rsid w:val="00FF05A9"/>
    <w:rsid w:val="00FF11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16CE87C2"/>
  <w15:chartTrackingRefBased/>
  <w15:docId w15:val="{891EF6AA-AE54-407F-BABA-3EC49559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rsid w:val="005123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ody2-col">
    <w:name w:val="DB-Body 2-col"/>
    <w:basedOn w:val="Normal"/>
    <w:rsid w:val="00647533"/>
    <w:pPr>
      <w:tabs>
        <w:tab w:val="left" w:pos="1080"/>
      </w:tabs>
      <w:autoSpaceDE w:val="0"/>
      <w:autoSpaceDN w:val="0"/>
      <w:adjustRightInd w:val="0"/>
      <w:spacing w:after="230" w:line="230" w:lineRule="atLeast"/>
      <w:textAlignment w:val="center"/>
    </w:pPr>
    <w:rPr>
      <w:rFonts w:ascii="HelveticaNeueLT Std Lt" w:hAnsi="HelveticaNeueLT Std Lt"/>
      <w:color w:val="000000"/>
      <w:sz w:val="20"/>
      <w:szCs w:val="19"/>
    </w:rPr>
  </w:style>
  <w:style w:type="paragraph" w:customStyle="1" w:styleId="DB-Bullet10115">
    <w:name w:val="DB-Bullet 10/11.5"/>
    <w:basedOn w:val="Normal"/>
    <w:rsid w:val="00647533"/>
    <w:pPr>
      <w:numPr>
        <w:numId w:val="3"/>
      </w:numPr>
      <w:spacing w:after="230" w:line="230" w:lineRule="exact"/>
    </w:pPr>
    <w:rPr>
      <w:rFonts w:ascii="HelveticaNeueLT Std Lt" w:hAnsi="HelveticaNeueLT Std Lt"/>
      <w:sz w:val="20"/>
      <w:szCs w:val="20"/>
    </w:rPr>
  </w:style>
  <w:style w:type="paragraph" w:customStyle="1" w:styleId="DB-Head12pt">
    <w:name w:val="DB-Head 12pt"/>
    <w:basedOn w:val="Normal"/>
    <w:rsid w:val="00647533"/>
    <w:pPr>
      <w:tabs>
        <w:tab w:val="left" w:pos="2606"/>
      </w:tabs>
      <w:spacing w:line="260" w:lineRule="atLeast"/>
    </w:pPr>
    <w:rPr>
      <w:rFonts w:ascii="HelveticaNeueLT Std Lt" w:hAnsi="HelveticaNeueLT Std Lt"/>
      <w:color w:val="006F9F"/>
      <w:szCs w:val="19"/>
    </w:rPr>
  </w:style>
  <w:style w:type="paragraph" w:customStyle="1" w:styleId="DB-Notes7105">
    <w:name w:val="DB-Notes 7/10.5"/>
    <w:basedOn w:val="DB-Body2-col"/>
    <w:rsid w:val="00647533"/>
    <w:rPr>
      <w:sz w:val="14"/>
    </w:rPr>
  </w:style>
  <w:style w:type="paragraph" w:customStyle="1" w:styleId="DB-Subhead10pt">
    <w:name w:val="DB-Subhead 10pt"/>
    <w:basedOn w:val="Normal"/>
    <w:rsid w:val="00647533"/>
    <w:pPr>
      <w:keepNext/>
      <w:tabs>
        <w:tab w:val="left" w:pos="2606"/>
      </w:tabs>
      <w:spacing w:after="120" w:line="260" w:lineRule="atLeast"/>
    </w:pPr>
    <w:rPr>
      <w:rFonts w:ascii="HelveticaNeueLT Std Lt" w:hAnsi="HelveticaNeueLT Std Lt"/>
      <w:color w:val="006F9F"/>
      <w:sz w:val="20"/>
      <w:szCs w:val="19"/>
    </w:rPr>
  </w:style>
  <w:style w:type="paragraph" w:customStyle="1" w:styleId="DB-TableBody">
    <w:name w:val="DB-Table Body"/>
    <w:basedOn w:val="Normal"/>
    <w:rsid w:val="00647533"/>
    <w:pPr>
      <w:spacing w:line="210" w:lineRule="exact"/>
    </w:pPr>
    <w:rPr>
      <w:rFonts w:ascii="HelveticaNeueLT Std Lt" w:hAnsi="HelveticaNeueLT Std Lt"/>
      <w:sz w:val="20"/>
      <w:szCs w:val="20"/>
    </w:rPr>
  </w:style>
  <w:style w:type="paragraph" w:customStyle="1" w:styleId="DB-TableBullet">
    <w:name w:val="DB-Table Bullet"/>
    <w:basedOn w:val="DB-Bullet10115"/>
    <w:rsid w:val="00647533"/>
    <w:pPr>
      <w:numPr>
        <w:numId w:val="0"/>
      </w:numPr>
      <w:spacing w:after="0"/>
    </w:pPr>
  </w:style>
  <w:style w:type="paragraph" w:customStyle="1" w:styleId="DB-TableBulletLevel2">
    <w:name w:val="DB-Table Bullet Level2"/>
    <w:basedOn w:val="DB-TableBullet"/>
    <w:rsid w:val="00647533"/>
  </w:style>
  <w:style w:type="paragraph" w:styleId="Header">
    <w:name w:val="header"/>
    <w:basedOn w:val="Normal"/>
    <w:rsid w:val="00483A59"/>
    <w:pPr>
      <w:tabs>
        <w:tab w:val="center" w:pos="4320"/>
        <w:tab w:val="right" w:pos="8640"/>
      </w:tabs>
    </w:pPr>
  </w:style>
  <w:style w:type="paragraph" w:styleId="Footer">
    <w:name w:val="footer"/>
    <w:basedOn w:val="Normal"/>
    <w:link w:val="FooterChar"/>
    <w:semiHidden/>
    <w:rsid w:val="00483A59"/>
    <w:pPr>
      <w:tabs>
        <w:tab w:val="center" w:pos="4320"/>
        <w:tab w:val="right" w:pos="8640"/>
      </w:tabs>
    </w:pPr>
  </w:style>
  <w:style w:type="paragraph" w:styleId="NormalWeb">
    <w:name w:val="Normal (Web)"/>
    <w:basedOn w:val="Normal"/>
    <w:uiPriority w:val="99"/>
    <w:unhideWhenUsed/>
    <w:rsid w:val="00CA218B"/>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3C2D49"/>
  </w:style>
  <w:style w:type="character" w:customStyle="1" w:styleId="FootnoteTextChar">
    <w:name w:val="Footnote Text Char"/>
    <w:link w:val="FootnoteText"/>
    <w:uiPriority w:val="99"/>
    <w:rsid w:val="003C2D49"/>
    <w:rPr>
      <w:sz w:val="24"/>
      <w:szCs w:val="24"/>
    </w:rPr>
  </w:style>
  <w:style w:type="character" w:styleId="FootnoteReference">
    <w:name w:val="footnote reference"/>
    <w:uiPriority w:val="99"/>
    <w:unhideWhenUsed/>
    <w:rsid w:val="003C2D49"/>
    <w:rPr>
      <w:vertAlign w:val="superscript"/>
    </w:rPr>
  </w:style>
  <w:style w:type="paragraph" w:styleId="BalloonText">
    <w:name w:val="Balloon Text"/>
    <w:basedOn w:val="Normal"/>
    <w:link w:val="BalloonTextChar"/>
    <w:uiPriority w:val="99"/>
    <w:semiHidden/>
    <w:unhideWhenUsed/>
    <w:rsid w:val="002757B3"/>
    <w:rPr>
      <w:rFonts w:ascii="Tahoma" w:hAnsi="Tahoma" w:cs="Tahoma"/>
      <w:sz w:val="16"/>
      <w:szCs w:val="16"/>
    </w:rPr>
  </w:style>
  <w:style w:type="character" w:customStyle="1" w:styleId="BalloonTextChar">
    <w:name w:val="Balloon Text Char"/>
    <w:link w:val="BalloonText"/>
    <w:uiPriority w:val="99"/>
    <w:semiHidden/>
    <w:rsid w:val="002757B3"/>
    <w:rPr>
      <w:rFonts w:ascii="Tahoma" w:hAnsi="Tahoma" w:cs="Tahoma"/>
      <w:sz w:val="16"/>
      <w:szCs w:val="16"/>
    </w:rPr>
  </w:style>
  <w:style w:type="paragraph" w:styleId="TOC2">
    <w:name w:val="toc 2"/>
    <w:basedOn w:val="Normal"/>
    <w:next w:val="Normal"/>
    <w:autoRedefine/>
    <w:uiPriority w:val="39"/>
    <w:unhideWhenUsed/>
    <w:rsid w:val="00B418D5"/>
    <w:pPr>
      <w:ind w:left="240"/>
    </w:pPr>
  </w:style>
  <w:style w:type="paragraph" w:styleId="TOC1">
    <w:name w:val="toc 1"/>
    <w:basedOn w:val="Normal"/>
    <w:next w:val="Normal"/>
    <w:autoRedefine/>
    <w:uiPriority w:val="39"/>
    <w:unhideWhenUsed/>
    <w:rsid w:val="00B418D5"/>
  </w:style>
  <w:style w:type="paragraph" w:styleId="TOC3">
    <w:name w:val="toc 3"/>
    <w:basedOn w:val="Normal"/>
    <w:next w:val="Normal"/>
    <w:autoRedefine/>
    <w:uiPriority w:val="39"/>
    <w:unhideWhenUsed/>
    <w:rsid w:val="00B418D5"/>
    <w:pPr>
      <w:ind w:left="480"/>
    </w:pPr>
  </w:style>
  <w:style w:type="paragraph" w:styleId="TOC4">
    <w:name w:val="toc 4"/>
    <w:basedOn w:val="Normal"/>
    <w:next w:val="Normal"/>
    <w:autoRedefine/>
    <w:uiPriority w:val="39"/>
    <w:unhideWhenUsed/>
    <w:rsid w:val="00B418D5"/>
    <w:pPr>
      <w:ind w:left="720"/>
    </w:pPr>
  </w:style>
  <w:style w:type="paragraph" w:styleId="TOC5">
    <w:name w:val="toc 5"/>
    <w:basedOn w:val="Normal"/>
    <w:next w:val="Normal"/>
    <w:autoRedefine/>
    <w:uiPriority w:val="39"/>
    <w:unhideWhenUsed/>
    <w:rsid w:val="00B418D5"/>
    <w:pPr>
      <w:ind w:left="960"/>
    </w:pPr>
  </w:style>
  <w:style w:type="paragraph" w:styleId="TOC6">
    <w:name w:val="toc 6"/>
    <w:basedOn w:val="Normal"/>
    <w:next w:val="Normal"/>
    <w:autoRedefine/>
    <w:uiPriority w:val="39"/>
    <w:unhideWhenUsed/>
    <w:rsid w:val="00B418D5"/>
    <w:pPr>
      <w:ind w:left="1200"/>
    </w:pPr>
  </w:style>
  <w:style w:type="paragraph" w:styleId="TOC7">
    <w:name w:val="toc 7"/>
    <w:basedOn w:val="Normal"/>
    <w:next w:val="Normal"/>
    <w:autoRedefine/>
    <w:uiPriority w:val="39"/>
    <w:unhideWhenUsed/>
    <w:rsid w:val="00B418D5"/>
    <w:pPr>
      <w:ind w:left="1440"/>
    </w:pPr>
  </w:style>
  <w:style w:type="paragraph" w:styleId="TOC8">
    <w:name w:val="toc 8"/>
    <w:basedOn w:val="Normal"/>
    <w:next w:val="Normal"/>
    <w:autoRedefine/>
    <w:uiPriority w:val="39"/>
    <w:unhideWhenUsed/>
    <w:rsid w:val="00B418D5"/>
    <w:pPr>
      <w:ind w:left="1680"/>
    </w:pPr>
  </w:style>
  <w:style w:type="paragraph" w:styleId="TOC9">
    <w:name w:val="toc 9"/>
    <w:basedOn w:val="Normal"/>
    <w:next w:val="Normal"/>
    <w:autoRedefine/>
    <w:uiPriority w:val="39"/>
    <w:unhideWhenUsed/>
    <w:rsid w:val="00B418D5"/>
    <w:pPr>
      <w:ind w:left="1920"/>
    </w:pPr>
  </w:style>
  <w:style w:type="character" w:styleId="CommentReference">
    <w:name w:val="annotation reference"/>
    <w:uiPriority w:val="99"/>
    <w:semiHidden/>
    <w:unhideWhenUsed/>
    <w:rsid w:val="00F71AAB"/>
    <w:rPr>
      <w:sz w:val="18"/>
      <w:szCs w:val="18"/>
    </w:rPr>
  </w:style>
  <w:style w:type="paragraph" w:styleId="CommentText">
    <w:name w:val="annotation text"/>
    <w:basedOn w:val="Normal"/>
    <w:link w:val="CommentTextChar"/>
    <w:uiPriority w:val="99"/>
    <w:semiHidden/>
    <w:unhideWhenUsed/>
    <w:rsid w:val="00F71AAB"/>
  </w:style>
  <w:style w:type="character" w:customStyle="1" w:styleId="CommentTextChar">
    <w:name w:val="Comment Text Char"/>
    <w:link w:val="CommentText"/>
    <w:uiPriority w:val="99"/>
    <w:semiHidden/>
    <w:rsid w:val="00F71AAB"/>
    <w:rPr>
      <w:sz w:val="24"/>
      <w:szCs w:val="24"/>
    </w:rPr>
  </w:style>
  <w:style w:type="paragraph" w:styleId="CommentSubject">
    <w:name w:val="annotation subject"/>
    <w:basedOn w:val="CommentText"/>
    <w:next w:val="CommentText"/>
    <w:link w:val="CommentSubjectChar"/>
    <w:uiPriority w:val="99"/>
    <w:semiHidden/>
    <w:unhideWhenUsed/>
    <w:rsid w:val="00F71AAB"/>
    <w:rPr>
      <w:b/>
      <w:bCs/>
      <w:sz w:val="20"/>
      <w:szCs w:val="20"/>
    </w:rPr>
  </w:style>
  <w:style w:type="character" w:customStyle="1" w:styleId="CommentSubjectChar">
    <w:name w:val="Comment Subject Char"/>
    <w:link w:val="CommentSubject"/>
    <w:uiPriority w:val="99"/>
    <w:semiHidden/>
    <w:rsid w:val="00F71AAB"/>
    <w:rPr>
      <w:b/>
      <w:bCs/>
      <w:sz w:val="24"/>
      <w:szCs w:val="24"/>
    </w:rPr>
  </w:style>
  <w:style w:type="character" w:customStyle="1" w:styleId="FooterChar">
    <w:name w:val="Footer Char"/>
    <w:link w:val="Footer"/>
    <w:rsid w:val="00D65C07"/>
    <w:rPr>
      <w:sz w:val="24"/>
      <w:szCs w:val="24"/>
    </w:rPr>
  </w:style>
  <w:style w:type="paragraph" w:customStyle="1" w:styleId="MacPacTrailer">
    <w:name w:val="MacPac Trailer"/>
    <w:rsid w:val="00D65C07"/>
    <w:pPr>
      <w:widowControl w:val="0"/>
      <w:spacing w:line="160" w:lineRule="exact"/>
    </w:pPr>
    <w:rPr>
      <w:sz w:val="14"/>
      <w:szCs w:val="22"/>
    </w:rPr>
  </w:style>
  <w:style w:type="character" w:styleId="PlaceholderText">
    <w:name w:val="Placeholder Text"/>
    <w:uiPriority w:val="99"/>
    <w:unhideWhenUsed/>
    <w:rsid w:val="00D65C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7472">
      <w:bodyDiv w:val="1"/>
      <w:marLeft w:val="0"/>
      <w:marRight w:val="0"/>
      <w:marTop w:val="0"/>
      <w:marBottom w:val="0"/>
      <w:divBdr>
        <w:top w:val="none" w:sz="0" w:space="0" w:color="auto"/>
        <w:left w:val="none" w:sz="0" w:space="0" w:color="auto"/>
        <w:bottom w:val="none" w:sz="0" w:space="0" w:color="auto"/>
        <w:right w:val="none" w:sz="0" w:space="0" w:color="auto"/>
      </w:divBdr>
      <w:divsChild>
        <w:div w:id="840123050">
          <w:marLeft w:val="0"/>
          <w:marRight w:val="0"/>
          <w:marTop w:val="0"/>
          <w:marBottom w:val="0"/>
          <w:divBdr>
            <w:top w:val="none" w:sz="0" w:space="0" w:color="auto"/>
            <w:left w:val="none" w:sz="0" w:space="0" w:color="auto"/>
            <w:bottom w:val="none" w:sz="0" w:space="0" w:color="auto"/>
            <w:right w:val="none" w:sz="0" w:space="0" w:color="auto"/>
          </w:divBdr>
          <w:divsChild>
            <w:div w:id="614602251">
              <w:marLeft w:val="0"/>
              <w:marRight w:val="0"/>
              <w:marTop w:val="0"/>
              <w:marBottom w:val="0"/>
              <w:divBdr>
                <w:top w:val="none" w:sz="0" w:space="0" w:color="auto"/>
                <w:left w:val="none" w:sz="0" w:space="0" w:color="auto"/>
                <w:bottom w:val="none" w:sz="0" w:space="0" w:color="auto"/>
                <w:right w:val="none" w:sz="0" w:space="0" w:color="auto"/>
              </w:divBdr>
              <w:divsChild>
                <w:div w:id="13990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4806">
      <w:bodyDiv w:val="1"/>
      <w:marLeft w:val="0"/>
      <w:marRight w:val="0"/>
      <w:marTop w:val="0"/>
      <w:marBottom w:val="0"/>
      <w:divBdr>
        <w:top w:val="none" w:sz="0" w:space="0" w:color="auto"/>
        <w:left w:val="none" w:sz="0" w:space="0" w:color="auto"/>
        <w:bottom w:val="none" w:sz="0" w:space="0" w:color="auto"/>
        <w:right w:val="none" w:sz="0" w:space="0" w:color="auto"/>
      </w:divBdr>
      <w:divsChild>
        <w:div w:id="715397269">
          <w:marLeft w:val="0"/>
          <w:marRight w:val="0"/>
          <w:marTop w:val="0"/>
          <w:marBottom w:val="0"/>
          <w:divBdr>
            <w:top w:val="none" w:sz="0" w:space="0" w:color="auto"/>
            <w:left w:val="none" w:sz="0" w:space="0" w:color="auto"/>
            <w:bottom w:val="none" w:sz="0" w:space="0" w:color="auto"/>
            <w:right w:val="none" w:sz="0" w:space="0" w:color="auto"/>
          </w:divBdr>
          <w:divsChild>
            <w:div w:id="576788342">
              <w:marLeft w:val="0"/>
              <w:marRight w:val="0"/>
              <w:marTop w:val="0"/>
              <w:marBottom w:val="0"/>
              <w:divBdr>
                <w:top w:val="none" w:sz="0" w:space="0" w:color="auto"/>
                <w:left w:val="none" w:sz="0" w:space="0" w:color="auto"/>
                <w:bottom w:val="none" w:sz="0" w:space="0" w:color="auto"/>
                <w:right w:val="none" w:sz="0" w:space="0" w:color="auto"/>
              </w:divBdr>
              <w:divsChild>
                <w:div w:id="4609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74168">
      <w:bodyDiv w:val="1"/>
      <w:marLeft w:val="0"/>
      <w:marRight w:val="0"/>
      <w:marTop w:val="0"/>
      <w:marBottom w:val="0"/>
      <w:divBdr>
        <w:top w:val="none" w:sz="0" w:space="0" w:color="auto"/>
        <w:left w:val="none" w:sz="0" w:space="0" w:color="auto"/>
        <w:bottom w:val="none" w:sz="0" w:space="0" w:color="auto"/>
        <w:right w:val="none" w:sz="0" w:space="0" w:color="auto"/>
      </w:divBdr>
    </w:div>
    <w:div w:id="1011447138">
      <w:bodyDiv w:val="1"/>
      <w:marLeft w:val="0"/>
      <w:marRight w:val="0"/>
      <w:marTop w:val="0"/>
      <w:marBottom w:val="0"/>
      <w:divBdr>
        <w:top w:val="none" w:sz="0" w:space="0" w:color="auto"/>
        <w:left w:val="none" w:sz="0" w:space="0" w:color="auto"/>
        <w:bottom w:val="none" w:sz="0" w:space="0" w:color="auto"/>
        <w:right w:val="none" w:sz="0" w:space="0" w:color="auto"/>
      </w:divBdr>
    </w:div>
    <w:div w:id="1053386703">
      <w:bodyDiv w:val="1"/>
      <w:marLeft w:val="0"/>
      <w:marRight w:val="0"/>
      <w:marTop w:val="0"/>
      <w:marBottom w:val="0"/>
      <w:divBdr>
        <w:top w:val="none" w:sz="0" w:space="0" w:color="auto"/>
        <w:left w:val="none" w:sz="0" w:space="0" w:color="auto"/>
        <w:bottom w:val="none" w:sz="0" w:space="0" w:color="auto"/>
        <w:right w:val="none" w:sz="0" w:space="0" w:color="auto"/>
      </w:divBdr>
      <w:divsChild>
        <w:div w:id="1314527949">
          <w:marLeft w:val="0"/>
          <w:marRight w:val="0"/>
          <w:marTop w:val="0"/>
          <w:marBottom w:val="0"/>
          <w:divBdr>
            <w:top w:val="none" w:sz="0" w:space="0" w:color="auto"/>
            <w:left w:val="none" w:sz="0" w:space="0" w:color="auto"/>
            <w:bottom w:val="none" w:sz="0" w:space="0" w:color="auto"/>
            <w:right w:val="none" w:sz="0" w:space="0" w:color="auto"/>
          </w:divBdr>
          <w:divsChild>
            <w:div w:id="688289615">
              <w:marLeft w:val="0"/>
              <w:marRight w:val="0"/>
              <w:marTop w:val="0"/>
              <w:marBottom w:val="0"/>
              <w:divBdr>
                <w:top w:val="none" w:sz="0" w:space="0" w:color="auto"/>
                <w:left w:val="none" w:sz="0" w:space="0" w:color="auto"/>
                <w:bottom w:val="none" w:sz="0" w:space="0" w:color="auto"/>
                <w:right w:val="none" w:sz="0" w:space="0" w:color="auto"/>
              </w:divBdr>
              <w:divsChild>
                <w:div w:id="20694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8945">
          <w:marLeft w:val="0"/>
          <w:marRight w:val="0"/>
          <w:marTop w:val="0"/>
          <w:marBottom w:val="0"/>
          <w:divBdr>
            <w:top w:val="none" w:sz="0" w:space="0" w:color="auto"/>
            <w:left w:val="none" w:sz="0" w:space="0" w:color="auto"/>
            <w:bottom w:val="none" w:sz="0" w:space="0" w:color="auto"/>
            <w:right w:val="none" w:sz="0" w:space="0" w:color="auto"/>
          </w:divBdr>
          <w:divsChild>
            <w:div w:id="1560823722">
              <w:marLeft w:val="0"/>
              <w:marRight w:val="0"/>
              <w:marTop w:val="0"/>
              <w:marBottom w:val="0"/>
              <w:divBdr>
                <w:top w:val="none" w:sz="0" w:space="0" w:color="auto"/>
                <w:left w:val="none" w:sz="0" w:space="0" w:color="auto"/>
                <w:bottom w:val="none" w:sz="0" w:space="0" w:color="auto"/>
                <w:right w:val="none" w:sz="0" w:space="0" w:color="auto"/>
              </w:divBdr>
              <w:divsChild>
                <w:div w:id="5820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4334">
      <w:bodyDiv w:val="1"/>
      <w:marLeft w:val="0"/>
      <w:marRight w:val="0"/>
      <w:marTop w:val="0"/>
      <w:marBottom w:val="0"/>
      <w:divBdr>
        <w:top w:val="none" w:sz="0" w:space="0" w:color="auto"/>
        <w:left w:val="none" w:sz="0" w:space="0" w:color="auto"/>
        <w:bottom w:val="none" w:sz="0" w:space="0" w:color="auto"/>
        <w:right w:val="none" w:sz="0" w:space="0" w:color="auto"/>
      </w:divBdr>
    </w:div>
    <w:div w:id="1600720099">
      <w:bodyDiv w:val="1"/>
      <w:marLeft w:val="0"/>
      <w:marRight w:val="0"/>
      <w:marTop w:val="0"/>
      <w:marBottom w:val="0"/>
      <w:divBdr>
        <w:top w:val="none" w:sz="0" w:space="0" w:color="auto"/>
        <w:left w:val="none" w:sz="0" w:space="0" w:color="auto"/>
        <w:bottom w:val="none" w:sz="0" w:space="0" w:color="auto"/>
        <w:right w:val="none" w:sz="0" w:space="0" w:color="auto"/>
      </w:divBdr>
      <w:divsChild>
        <w:div w:id="587007466">
          <w:marLeft w:val="0"/>
          <w:marRight w:val="0"/>
          <w:marTop w:val="0"/>
          <w:marBottom w:val="0"/>
          <w:divBdr>
            <w:top w:val="none" w:sz="0" w:space="0" w:color="auto"/>
            <w:left w:val="none" w:sz="0" w:space="0" w:color="auto"/>
            <w:bottom w:val="none" w:sz="0" w:space="0" w:color="auto"/>
            <w:right w:val="none" w:sz="0" w:space="0" w:color="auto"/>
          </w:divBdr>
          <w:divsChild>
            <w:div w:id="1195994254">
              <w:marLeft w:val="0"/>
              <w:marRight w:val="0"/>
              <w:marTop w:val="0"/>
              <w:marBottom w:val="0"/>
              <w:divBdr>
                <w:top w:val="none" w:sz="0" w:space="0" w:color="auto"/>
                <w:left w:val="none" w:sz="0" w:space="0" w:color="auto"/>
                <w:bottom w:val="none" w:sz="0" w:space="0" w:color="auto"/>
                <w:right w:val="none" w:sz="0" w:space="0" w:color="auto"/>
              </w:divBdr>
              <w:divsChild>
                <w:div w:id="14228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00950">
      <w:bodyDiv w:val="1"/>
      <w:marLeft w:val="0"/>
      <w:marRight w:val="0"/>
      <w:marTop w:val="0"/>
      <w:marBottom w:val="0"/>
      <w:divBdr>
        <w:top w:val="none" w:sz="0" w:space="0" w:color="auto"/>
        <w:left w:val="none" w:sz="0" w:space="0" w:color="auto"/>
        <w:bottom w:val="none" w:sz="0" w:space="0" w:color="auto"/>
        <w:right w:val="none" w:sz="0" w:space="0" w:color="auto"/>
      </w:divBdr>
      <w:divsChild>
        <w:div w:id="1130710520">
          <w:marLeft w:val="0"/>
          <w:marRight w:val="0"/>
          <w:marTop w:val="0"/>
          <w:marBottom w:val="0"/>
          <w:divBdr>
            <w:top w:val="none" w:sz="0" w:space="0" w:color="auto"/>
            <w:left w:val="none" w:sz="0" w:space="0" w:color="auto"/>
            <w:bottom w:val="none" w:sz="0" w:space="0" w:color="auto"/>
            <w:right w:val="none" w:sz="0" w:space="0" w:color="auto"/>
          </w:divBdr>
          <w:divsChild>
            <w:div w:id="1428454847">
              <w:marLeft w:val="0"/>
              <w:marRight w:val="0"/>
              <w:marTop w:val="0"/>
              <w:marBottom w:val="0"/>
              <w:divBdr>
                <w:top w:val="none" w:sz="0" w:space="0" w:color="auto"/>
                <w:left w:val="none" w:sz="0" w:space="0" w:color="auto"/>
                <w:bottom w:val="none" w:sz="0" w:space="0" w:color="auto"/>
                <w:right w:val="none" w:sz="0" w:space="0" w:color="auto"/>
              </w:divBdr>
              <w:divsChild>
                <w:div w:id="222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16974">
      <w:bodyDiv w:val="1"/>
      <w:marLeft w:val="0"/>
      <w:marRight w:val="0"/>
      <w:marTop w:val="0"/>
      <w:marBottom w:val="0"/>
      <w:divBdr>
        <w:top w:val="none" w:sz="0" w:space="0" w:color="auto"/>
        <w:left w:val="none" w:sz="0" w:space="0" w:color="auto"/>
        <w:bottom w:val="none" w:sz="0" w:space="0" w:color="auto"/>
        <w:right w:val="none" w:sz="0" w:space="0" w:color="auto"/>
      </w:divBdr>
      <w:divsChild>
        <w:div w:id="278612529">
          <w:marLeft w:val="0"/>
          <w:marRight w:val="0"/>
          <w:marTop w:val="0"/>
          <w:marBottom w:val="0"/>
          <w:divBdr>
            <w:top w:val="none" w:sz="0" w:space="0" w:color="auto"/>
            <w:left w:val="none" w:sz="0" w:space="0" w:color="auto"/>
            <w:bottom w:val="none" w:sz="0" w:space="0" w:color="auto"/>
            <w:right w:val="none" w:sz="0" w:space="0" w:color="auto"/>
          </w:divBdr>
          <w:divsChild>
            <w:div w:id="277686505">
              <w:marLeft w:val="0"/>
              <w:marRight w:val="0"/>
              <w:marTop w:val="0"/>
              <w:marBottom w:val="0"/>
              <w:divBdr>
                <w:top w:val="none" w:sz="0" w:space="0" w:color="auto"/>
                <w:left w:val="none" w:sz="0" w:space="0" w:color="auto"/>
                <w:bottom w:val="none" w:sz="0" w:space="0" w:color="auto"/>
                <w:right w:val="none" w:sz="0" w:space="0" w:color="auto"/>
              </w:divBdr>
              <w:divsChild>
                <w:div w:id="318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8556</Characters>
  <Application>Microsoft Macintosh Word</Application>
  <DocSecurity>0</DocSecurity>
  <Lines>71</Lines>
  <Paragraphs>20</Paragraphs>
  <ScaleCrop>false</ScaleCrop>
  <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Microsoft Office User</cp:lastModifiedBy>
  <cp:revision>2</cp:revision>
  <dcterms:created xsi:type="dcterms:W3CDTF">2017-11-09T05:32:00Z</dcterms:created>
  <dcterms:modified xsi:type="dcterms:W3CDTF">2017-11-09T05:32:00Z</dcterms:modified>
</cp:coreProperties>
</file>